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4D7DCA" w14:textId="77777777" w:rsidR="001A32A5" w:rsidRPr="00AD2267" w:rsidRDefault="001A32A5" w:rsidP="001A32A5">
      <w:pPr>
        <w:spacing w:line="360" w:lineRule="auto"/>
        <w:contextualSpacing/>
        <w:rPr>
          <w:rFonts w:cstheme="minorHAnsi"/>
        </w:rPr>
      </w:pPr>
    </w:p>
    <w:p w14:paraId="70DF702B" w14:textId="77777777" w:rsidR="001A32A5" w:rsidRPr="00167229" w:rsidRDefault="001A32A5" w:rsidP="001A32A5">
      <w:pPr>
        <w:contextualSpacing/>
        <w:jc w:val="center"/>
        <w:rPr>
          <w:rFonts w:cstheme="minorHAnsi"/>
          <w:b/>
          <w:bCs/>
        </w:rPr>
      </w:pPr>
      <w:r w:rsidRPr="00167229">
        <w:rPr>
          <w:rFonts w:cstheme="minorHAnsi"/>
          <w:b/>
          <w:bCs/>
        </w:rPr>
        <w:t>Who is a murderer?</w:t>
      </w:r>
    </w:p>
    <w:p w14:paraId="46DF0DE4" w14:textId="77777777" w:rsidR="001A32A5" w:rsidRPr="00167229" w:rsidRDefault="001A32A5" w:rsidP="001A32A5">
      <w:pPr>
        <w:contextualSpacing/>
        <w:jc w:val="center"/>
        <w:rPr>
          <w:rFonts w:cstheme="minorHAnsi"/>
          <w:b/>
          <w:bCs/>
        </w:rPr>
      </w:pPr>
      <w:r w:rsidRPr="00167229">
        <w:rPr>
          <w:rFonts w:cstheme="minorHAnsi"/>
          <w:b/>
          <w:bCs/>
        </w:rPr>
        <w:t>Questioning the role of ‘intention’ in murder liability</w:t>
      </w:r>
    </w:p>
    <w:p w14:paraId="7624CFCC" w14:textId="77777777" w:rsidR="001A32A5" w:rsidRPr="00167229" w:rsidRDefault="001A32A5" w:rsidP="001A32A5">
      <w:pPr>
        <w:contextualSpacing/>
        <w:rPr>
          <w:rFonts w:cstheme="minorHAnsi"/>
        </w:rPr>
      </w:pPr>
    </w:p>
    <w:p w14:paraId="7D44BB7E" w14:textId="77777777" w:rsidR="001A32A5" w:rsidRPr="00167229" w:rsidRDefault="001A32A5" w:rsidP="001A32A5">
      <w:pPr>
        <w:contextualSpacing/>
        <w:rPr>
          <w:rFonts w:cstheme="minorHAnsi"/>
        </w:rPr>
      </w:pPr>
      <w:r w:rsidRPr="00167229">
        <w:rPr>
          <w:rFonts w:cstheme="minorHAnsi"/>
        </w:rPr>
        <w:t>Should ‘intention’ lie at the heart of the wrong or evil of murder, or is ‘intention’ as interpreted a somewhat ill-fitting proxy for something else?</w:t>
      </w:r>
    </w:p>
    <w:p w14:paraId="50D9D0AD" w14:textId="77777777" w:rsidR="001A32A5" w:rsidRPr="00167229" w:rsidRDefault="001A32A5" w:rsidP="001A32A5">
      <w:pPr>
        <w:contextualSpacing/>
        <w:rPr>
          <w:rFonts w:cstheme="minorHAnsi"/>
        </w:rPr>
      </w:pPr>
      <w:r w:rsidRPr="00167229">
        <w:rPr>
          <w:rFonts w:cstheme="minorHAnsi"/>
        </w:rPr>
        <w:t>What else could lie there instead?</w:t>
      </w:r>
    </w:p>
    <w:p w14:paraId="4F275915" w14:textId="77777777" w:rsidR="001A32A5" w:rsidRPr="00167229" w:rsidRDefault="001A32A5" w:rsidP="001A32A5">
      <w:pPr>
        <w:contextualSpacing/>
        <w:rPr>
          <w:rFonts w:cstheme="minorHAnsi"/>
        </w:rPr>
      </w:pPr>
    </w:p>
    <w:p w14:paraId="33916B79" w14:textId="77777777" w:rsidR="001A32A5" w:rsidRPr="00167229" w:rsidRDefault="001A32A5" w:rsidP="001A32A5">
      <w:pPr>
        <w:contextualSpacing/>
        <w:rPr>
          <w:rFonts w:cstheme="minorHAnsi"/>
          <w:b/>
          <w:bCs/>
        </w:rPr>
      </w:pPr>
      <w:r w:rsidRPr="00167229">
        <w:rPr>
          <w:rFonts w:cstheme="minorHAnsi"/>
          <w:b/>
          <w:bCs/>
        </w:rPr>
        <w:t>Current Law (E&amp;W)</w:t>
      </w:r>
    </w:p>
    <w:p w14:paraId="6CD4C98F" w14:textId="77777777" w:rsidR="001A32A5" w:rsidRPr="00167229" w:rsidRDefault="001A32A5" w:rsidP="001A32A5">
      <w:pPr>
        <w:contextualSpacing/>
        <w:rPr>
          <w:rFonts w:cstheme="minorHAnsi"/>
        </w:rPr>
      </w:pPr>
      <w:r w:rsidRPr="00167229">
        <w:rPr>
          <w:rFonts w:cstheme="minorHAnsi"/>
        </w:rPr>
        <w:t>Intention to kill or intention to cause GBH.</w:t>
      </w:r>
    </w:p>
    <w:p w14:paraId="3A457387" w14:textId="77777777" w:rsidR="001A32A5" w:rsidRPr="00167229" w:rsidRDefault="001A32A5" w:rsidP="001A32A5">
      <w:pPr>
        <w:contextualSpacing/>
        <w:rPr>
          <w:rFonts w:cstheme="minorHAnsi"/>
        </w:rPr>
      </w:pPr>
      <w:r w:rsidRPr="00167229">
        <w:rPr>
          <w:rFonts w:cstheme="minorHAnsi"/>
        </w:rPr>
        <w:t xml:space="preserve">Foresight of virtual certainty – evidence of intention (also for secondary liability post </w:t>
      </w:r>
      <w:proofErr w:type="spellStart"/>
      <w:r w:rsidRPr="00167229">
        <w:rPr>
          <w:rFonts w:cstheme="minorHAnsi"/>
          <w:i/>
          <w:iCs/>
        </w:rPr>
        <w:t>Jogee</w:t>
      </w:r>
      <w:proofErr w:type="spellEnd"/>
      <w:r w:rsidRPr="00167229">
        <w:rPr>
          <w:rFonts w:cstheme="minorHAnsi"/>
        </w:rPr>
        <w:t>)</w:t>
      </w:r>
    </w:p>
    <w:p w14:paraId="156DD032" w14:textId="77777777" w:rsidR="001A32A5" w:rsidRPr="00167229" w:rsidRDefault="001A32A5" w:rsidP="001A32A5">
      <w:pPr>
        <w:contextualSpacing/>
        <w:rPr>
          <w:rFonts w:cstheme="minorHAnsi"/>
        </w:rPr>
      </w:pPr>
    </w:p>
    <w:p w14:paraId="30D8D2F3" w14:textId="77777777" w:rsidR="001A32A5" w:rsidRPr="00167229" w:rsidRDefault="001A32A5" w:rsidP="001A32A5">
      <w:pPr>
        <w:contextualSpacing/>
        <w:rPr>
          <w:rFonts w:cstheme="minorHAnsi"/>
          <w:b/>
          <w:bCs/>
        </w:rPr>
      </w:pPr>
      <w:r w:rsidRPr="00167229">
        <w:rPr>
          <w:rFonts w:cstheme="minorHAnsi"/>
          <w:b/>
          <w:bCs/>
        </w:rPr>
        <w:t>Over inclusive: Are intentional killings the most morally blameworthy?</w:t>
      </w:r>
    </w:p>
    <w:p w14:paraId="09218461" w14:textId="77777777" w:rsidR="001A32A5" w:rsidRPr="001D56E1" w:rsidRDefault="001A32A5" w:rsidP="001A32A5">
      <w:pPr>
        <w:pStyle w:val="ListParagraph"/>
        <w:numPr>
          <w:ilvl w:val="0"/>
          <w:numId w:val="1"/>
        </w:numPr>
        <w:rPr>
          <w:rFonts w:cstheme="minorHAnsi"/>
          <w:b/>
          <w:bCs/>
        </w:rPr>
      </w:pPr>
      <w:r>
        <w:rPr>
          <w:rFonts w:cstheme="minorHAnsi"/>
        </w:rPr>
        <w:t>(</w:t>
      </w:r>
      <w:r w:rsidRPr="00167229">
        <w:rPr>
          <w:rFonts w:cstheme="minorHAnsi"/>
        </w:rPr>
        <w:t>Intent to cause GBH with no intent or foresight of death</w:t>
      </w:r>
      <w:r>
        <w:rPr>
          <w:rFonts w:cstheme="minorHAnsi"/>
        </w:rPr>
        <w:t>)</w:t>
      </w:r>
    </w:p>
    <w:p w14:paraId="65E03761" w14:textId="77777777" w:rsidR="001A32A5" w:rsidRPr="00167229" w:rsidRDefault="001A32A5" w:rsidP="001A32A5">
      <w:pPr>
        <w:pStyle w:val="ListParagraph"/>
        <w:numPr>
          <w:ilvl w:val="0"/>
          <w:numId w:val="1"/>
        </w:numPr>
        <w:rPr>
          <w:rFonts w:cstheme="minorHAnsi"/>
          <w:b/>
          <w:bCs/>
        </w:rPr>
      </w:pPr>
      <w:r w:rsidRPr="00167229">
        <w:rPr>
          <w:rFonts w:cstheme="minorHAnsi"/>
        </w:rPr>
        <w:t>Mercy killings</w:t>
      </w:r>
    </w:p>
    <w:p w14:paraId="65B982A4" w14:textId="77777777" w:rsidR="001A32A5" w:rsidRPr="001F3090" w:rsidRDefault="001A32A5" w:rsidP="001A32A5">
      <w:pPr>
        <w:pStyle w:val="ListParagraph"/>
        <w:numPr>
          <w:ilvl w:val="0"/>
          <w:numId w:val="1"/>
        </w:numPr>
        <w:rPr>
          <w:rFonts w:cstheme="minorHAnsi"/>
          <w:b/>
          <w:bCs/>
        </w:rPr>
      </w:pPr>
      <w:r w:rsidRPr="00167229">
        <w:rPr>
          <w:rFonts w:cstheme="minorHAnsi"/>
        </w:rPr>
        <w:t>Medical</w:t>
      </w:r>
    </w:p>
    <w:p w14:paraId="18D5B7D4" w14:textId="77777777" w:rsidR="001A32A5" w:rsidRDefault="001A32A5" w:rsidP="001A32A5">
      <w:pPr>
        <w:rPr>
          <w:rFonts w:cstheme="minorHAnsi"/>
          <w:i/>
          <w:iCs/>
        </w:rPr>
      </w:pPr>
    </w:p>
    <w:p w14:paraId="59FA0938" w14:textId="77777777" w:rsidR="001A32A5" w:rsidRPr="00744FCF" w:rsidRDefault="001A32A5" w:rsidP="001A32A5">
      <w:pPr>
        <w:rPr>
          <w:rFonts w:cstheme="minorHAnsi"/>
        </w:rPr>
      </w:pPr>
      <w:r w:rsidRPr="00744FCF">
        <w:rPr>
          <w:rFonts w:cstheme="minorHAnsi"/>
          <w:i/>
          <w:iCs/>
        </w:rPr>
        <w:t>In re A</w:t>
      </w:r>
      <w:r w:rsidRPr="00744FCF">
        <w:rPr>
          <w:rFonts w:cstheme="minorHAnsi"/>
        </w:rPr>
        <w:t xml:space="preserve"> [2001] Fam 147: ‘Unpalatable though it may be </w:t>
      </w:r>
      <w:r>
        <w:rPr>
          <w:rFonts w:cstheme="minorHAnsi"/>
        </w:rPr>
        <w:t>…</w:t>
      </w:r>
      <w:r w:rsidRPr="00744FCF">
        <w:rPr>
          <w:rFonts w:cstheme="minorHAnsi"/>
        </w:rPr>
        <w:t xml:space="preserve"> to stigmatise the doctors with “murderous intent”, that is what in law they will have if they perform the operation and Mary dies as a result.’</w:t>
      </w:r>
    </w:p>
    <w:p w14:paraId="684094F0" w14:textId="77777777" w:rsidR="001A32A5" w:rsidRPr="00167229" w:rsidRDefault="001A32A5" w:rsidP="001A32A5">
      <w:pPr>
        <w:contextualSpacing/>
        <w:rPr>
          <w:rFonts w:cstheme="minorHAnsi"/>
          <w:b/>
          <w:bCs/>
        </w:rPr>
      </w:pPr>
    </w:p>
    <w:p w14:paraId="109EB519" w14:textId="77777777" w:rsidR="001A32A5" w:rsidRPr="00167229" w:rsidRDefault="001A32A5" w:rsidP="001A32A5">
      <w:pPr>
        <w:contextualSpacing/>
        <w:rPr>
          <w:rFonts w:cstheme="minorHAnsi"/>
          <w:b/>
          <w:bCs/>
        </w:rPr>
      </w:pPr>
      <w:r w:rsidRPr="00167229">
        <w:rPr>
          <w:rFonts w:cstheme="minorHAnsi"/>
          <w:b/>
          <w:bCs/>
        </w:rPr>
        <w:t>Under inclusive: Can non-intentional killings be just as morally blameworthy as intentional killings? How far does that stretch?</w:t>
      </w:r>
    </w:p>
    <w:p w14:paraId="339647DD" w14:textId="77777777" w:rsidR="001A32A5" w:rsidRPr="00167229" w:rsidRDefault="001A32A5" w:rsidP="001A32A5">
      <w:pPr>
        <w:pStyle w:val="ListParagraph"/>
        <w:numPr>
          <w:ilvl w:val="0"/>
          <w:numId w:val="3"/>
        </w:numPr>
        <w:rPr>
          <w:rFonts w:cstheme="minorHAnsi"/>
        </w:rPr>
      </w:pPr>
      <w:r w:rsidRPr="00167229">
        <w:rPr>
          <w:rFonts w:cstheme="minorHAnsi"/>
        </w:rPr>
        <w:t xml:space="preserve">Terrorist example – Lord Steyn in </w:t>
      </w:r>
      <w:proofErr w:type="spellStart"/>
      <w:r w:rsidRPr="00167229">
        <w:rPr>
          <w:rFonts w:cstheme="minorHAnsi"/>
          <w:i/>
          <w:iCs/>
        </w:rPr>
        <w:t>Woollin</w:t>
      </w:r>
      <w:proofErr w:type="spellEnd"/>
    </w:p>
    <w:p w14:paraId="274FC393" w14:textId="77777777" w:rsidR="001A32A5" w:rsidRPr="00167229" w:rsidRDefault="001A32A5" w:rsidP="001A32A5">
      <w:pPr>
        <w:pStyle w:val="ListParagraph"/>
        <w:numPr>
          <w:ilvl w:val="0"/>
          <w:numId w:val="3"/>
        </w:numPr>
        <w:rPr>
          <w:rFonts w:cstheme="minorHAnsi"/>
        </w:rPr>
      </w:pPr>
      <w:r w:rsidRPr="00167229">
        <w:rPr>
          <w:rFonts w:cstheme="minorHAnsi"/>
        </w:rPr>
        <w:t>Others?</w:t>
      </w:r>
    </w:p>
    <w:p w14:paraId="3A0EB386" w14:textId="77777777" w:rsidR="001A32A5" w:rsidRPr="00167229" w:rsidRDefault="001A32A5" w:rsidP="001A32A5">
      <w:pPr>
        <w:contextualSpacing/>
        <w:rPr>
          <w:rFonts w:cstheme="minorHAnsi"/>
        </w:rPr>
      </w:pPr>
    </w:p>
    <w:p w14:paraId="6109DC57" w14:textId="77777777" w:rsidR="001A32A5" w:rsidRPr="00167229" w:rsidRDefault="001A32A5" w:rsidP="001A32A5">
      <w:pPr>
        <w:contextualSpacing/>
        <w:rPr>
          <w:rFonts w:cstheme="minorHAnsi"/>
          <w:b/>
          <w:bCs/>
        </w:rPr>
      </w:pPr>
      <w:r w:rsidRPr="00167229">
        <w:rPr>
          <w:rFonts w:cstheme="minorHAnsi"/>
          <w:b/>
          <w:bCs/>
        </w:rPr>
        <w:t>Comparative:</w:t>
      </w:r>
    </w:p>
    <w:p w14:paraId="5256EC71" w14:textId="77777777" w:rsidR="001A32A5" w:rsidRPr="00167229" w:rsidRDefault="001A32A5" w:rsidP="001A32A5">
      <w:pPr>
        <w:pStyle w:val="ListParagraph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(</w:t>
      </w:r>
      <w:r w:rsidRPr="00167229">
        <w:rPr>
          <w:rFonts w:cstheme="minorHAnsi"/>
        </w:rPr>
        <w:t>Germany</w:t>
      </w:r>
      <w:r>
        <w:rPr>
          <w:rFonts w:cstheme="minorHAnsi"/>
        </w:rPr>
        <w:t>)</w:t>
      </w:r>
    </w:p>
    <w:p w14:paraId="6BB98809" w14:textId="77777777" w:rsidR="001A32A5" w:rsidRPr="00167229" w:rsidRDefault="001A32A5" w:rsidP="001A32A5">
      <w:pPr>
        <w:pStyle w:val="ListParagraph"/>
        <w:numPr>
          <w:ilvl w:val="0"/>
          <w:numId w:val="2"/>
        </w:numPr>
        <w:rPr>
          <w:rFonts w:cstheme="minorHAnsi"/>
        </w:rPr>
      </w:pPr>
      <w:r w:rsidRPr="00167229">
        <w:rPr>
          <w:rFonts w:cstheme="minorHAnsi"/>
        </w:rPr>
        <w:t>US Model Penal Code</w:t>
      </w:r>
    </w:p>
    <w:p w14:paraId="47A4AB11" w14:textId="77777777" w:rsidR="001A32A5" w:rsidRPr="00167229" w:rsidRDefault="001A32A5" w:rsidP="001A32A5">
      <w:pPr>
        <w:pStyle w:val="ListParagraph"/>
        <w:numPr>
          <w:ilvl w:val="0"/>
          <w:numId w:val="2"/>
        </w:numPr>
        <w:rPr>
          <w:rFonts w:cstheme="minorHAnsi"/>
        </w:rPr>
      </w:pPr>
      <w:r w:rsidRPr="00167229">
        <w:rPr>
          <w:rFonts w:cstheme="minorHAnsi"/>
        </w:rPr>
        <w:t>Ireland</w:t>
      </w:r>
    </w:p>
    <w:p w14:paraId="1343974D" w14:textId="77777777" w:rsidR="001A32A5" w:rsidRPr="00167229" w:rsidRDefault="001A32A5" w:rsidP="001A32A5">
      <w:pPr>
        <w:pStyle w:val="ListParagraph"/>
        <w:numPr>
          <w:ilvl w:val="0"/>
          <w:numId w:val="2"/>
        </w:numPr>
        <w:rPr>
          <w:rFonts w:cstheme="minorHAnsi"/>
        </w:rPr>
      </w:pPr>
      <w:r w:rsidRPr="00167229">
        <w:rPr>
          <w:rFonts w:cstheme="minorHAnsi"/>
        </w:rPr>
        <w:t>Scotland</w:t>
      </w:r>
    </w:p>
    <w:p w14:paraId="23101C92" w14:textId="77777777" w:rsidR="001A32A5" w:rsidRDefault="001A32A5" w:rsidP="001A32A5">
      <w:pPr>
        <w:contextualSpacing/>
        <w:rPr>
          <w:rFonts w:cstheme="minorHAnsi"/>
        </w:rPr>
      </w:pPr>
    </w:p>
    <w:p w14:paraId="3C24DE56" w14:textId="77777777" w:rsidR="001A32A5" w:rsidRDefault="001A32A5" w:rsidP="001A32A5">
      <w:pPr>
        <w:tabs>
          <w:tab w:val="left" w:pos="7695"/>
        </w:tabs>
        <w:rPr>
          <w:rFonts w:cstheme="minorHAnsi"/>
        </w:rPr>
      </w:pPr>
      <w:r w:rsidRPr="00167229">
        <w:rPr>
          <w:rFonts w:cstheme="minorHAnsi"/>
        </w:rPr>
        <w:t xml:space="preserve">Law Commission for Scotland citing JHA Macdonald, </w:t>
      </w:r>
      <w:r w:rsidRPr="00167229">
        <w:rPr>
          <w:rFonts w:cstheme="minorHAnsi"/>
          <w:i/>
          <w:iCs/>
        </w:rPr>
        <w:t>Practical Treatise on the Criminal Law of Scotland</w:t>
      </w:r>
      <w:r w:rsidRPr="00167229">
        <w:rPr>
          <w:rFonts w:cstheme="minorHAnsi"/>
        </w:rPr>
        <w:t>: “Murder is constituted by any wilful act causing the destruction of life, whether intended to kill, or displaying such wicked recklessness as to imply a disposition depraved enough to be regardless of consequences.”</w:t>
      </w:r>
    </w:p>
    <w:p w14:paraId="6D726627" w14:textId="77777777" w:rsidR="001A32A5" w:rsidRPr="00167229" w:rsidRDefault="001A32A5" w:rsidP="001A32A5">
      <w:pPr>
        <w:contextualSpacing/>
        <w:rPr>
          <w:rFonts w:cstheme="minorHAnsi"/>
        </w:rPr>
      </w:pPr>
    </w:p>
    <w:p w14:paraId="58C5C8FF" w14:textId="77777777" w:rsidR="001A32A5" w:rsidRDefault="001A32A5" w:rsidP="001A32A5">
      <w:pPr>
        <w:contextualSpacing/>
        <w:rPr>
          <w:rFonts w:cstheme="minorHAnsi"/>
        </w:rPr>
      </w:pPr>
      <w:r w:rsidRPr="00167229">
        <w:rPr>
          <w:rFonts w:cstheme="minorHAnsi"/>
        </w:rPr>
        <w:t xml:space="preserve">What could E&amp;W learn from </w:t>
      </w:r>
      <w:r>
        <w:rPr>
          <w:rFonts w:cstheme="minorHAnsi"/>
        </w:rPr>
        <w:t xml:space="preserve">other jurisdictions </w:t>
      </w:r>
      <w:r w:rsidRPr="00167229">
        <w:rPr>
          <w:rFonts w:cstheme="minorHAnsi"/>
        </w:rPr>
        <w:t>to reduce over-inclusion and under-inclusion within murder?</w:t>
      </w:r>
    </w:p>
    <w:p w14:paraId="36BCCEF5" w14:textId="77777777" w:rsidR="001A32A5" w:rsidRPr="00167229" w:rsidRDefault="001A32A5" w:rsidP="001A32A5">
      <w:pPr>
        <w:contextualSpacing/>
        <w:rPr>
          <w:rFonts w:cstheme="minorHAnsi"/>
        </w:rPr>
      </w:pPr>
    </w:p>
    <w:p w14:paraId="045C4B33" w14:textId="77777777" w:rsidR="001A32A5" w:rsidRPr="00167229" w:rsidRDefault="001A32A5" w:rsidP="001A32A5">
      <w:pPr>
        <w:contextualSpacing/>
        <w:rPr>
          <w:rFonts w:cstheme="minorHAnsi"/>
        </w:rPr>
      </w:pPr>
      <w:r>
        <w:rPr>
          <w:rFonts w:cstheme="minorHAnsi"/>
        </w:rPr>
        <w:t>Criticisms</w:t>
      </w:r>
      <w:r w:rsidRPr="00167229">
        <w:rPr>
          <w:rFonts w:cstheme="minorHAnsi"/>
        </w:rPr>
        <w:t xml:space="preserve"> and other aspects to consider</w:t>
      </w:r>
    </w:p>
    <w:p w14:paraId="63BD8DDC" w14:textId="77777777" w:rsidR="001A32A5" w:rsidRPr="00167229" w:rsidRDefault="001A32A5" w:rsidP="001A32A5">
      <w:pPr>
        <w:contextualSpacing/>
        <w:rPr>
          <w:rFonts w:cstheme="minorHAnsi"/>
        </w:rPr>
      </w:pPr>
    </w:p>
    <w:p w14:paraId="79F822CF" w14:textId="77777777" w:rsidR="001A32A5" w:rsidRPr="00167229" w:rsidRDefault="001A32A5" w:rsidP="001A32A5">
      <w:pPr>
        <w:contextualSpacing/>
        <w:rPr>
          <w:rFonts w:cstheme="minorHAnsi"/>
        </w:rPr>
      </w:pPr>
      <w:r w:rsidRPr="00167229">
        <w:rPr>
          <w:rFonts w:cstheme="minorHAnsi"/>
        </w:rPr>
        <w:t>How far does the principle extend?</w:t>
      </w:r>
    </w:p>
    <w:p w14:paraId="3F5C6300" w14:textId="77777777" w:rsidR="001A32A5" w:rsidRDefault="001A32A5" w:rsidP="001A32A5">
      <w:pPr>
        <w:contextualSpacing/>
        <w:rPr>
          <w:rFonts w:cstheme="minorHAnsi"/>
        </w:rPr>
      </w:pPr>
      <w:r w:rsidRPr="00167229">
        <w:rPr>
          <w:rFonts w:cstheme="minorHAnsi"/>
        </w:rPr>
        <w:t>Consider Grenfell Tower</w:t>
      </w:r>
    </w:p>
    <w:p w14:paraId="564EBDF5" w14:textId="77777777" w:rsidR="001A32A5" w:rsidRPr="00167229" w:rsidRDefault="001A32A5" w:rsidP="001A32A5">
      <w:pPr>
        <w:contextualSpacing/>
        <w:rPr>
          <w:rFonts w:cstheme="minorHAnsi"/>
        </w:rPr>
      </w:pPr>
    </w:p>
    <w:p w14:paraId="25DA3A5F" w14:textId="77777777" w:rsidR="001A32A5" w:rsidRPr="00167229" w:rsidRDefault="001A32A5" w:rsidP="001A32A5">
      <w:pPr>
        <w:contextualSpacing/>
        <w:rPr>
          <w:rFonts w:cstheme="minorHAnsi"/>
        </w:rPr>
      </w:pPr>
      <w:r w:rsidRPr="00167229">
        <w:rPr>
          <w:rFonts w:cstheme="minorHAnsi"/>
        </w:rPr>
        <w:t xml:space="preserve">Who should draw key moral distinctions – the prosecutor, the judge or the jury? </w:t>
      </w:r>
    </w:p>
    <w:p w14:paraId="3FFE043C" w14:textId="77777777" w:rsidR="001A32A5" w:rsidRPr="00167229" w:rsidRDefault="001A32A5" w:rsidP="001A32A5">
      <w:pPr>
        <w:contextualSpacing/>
        <w:rPr>
          <w:rFonts w:cstheme="minorHAnsi"/>
        </w:rPr>
      </w:pPr>
    </w:p>
    <w:p w14:paraId="0EF554B5" w14:textId="77777777" w:rsidR="001A32A5" w:rsidRDefault="001A32A5" w:rsidP="001A32A5">
      <w:pPr>
        <w:contextualSpacing/>
        <w:rPr>
          <w:rFonts w:cstheme="minorHAnsi"/>
        </w:rPr>
      </w:pPr>
    </w:p>
    <w:p w14:paraId="74BF4E3C" w14:textId="77777777" w:rsidR="001A32A5" w:rsidRPr="00167229" w:rsidRDefault="001A32A5" w:rsidP="001A32A5">
      <w:pPr>
        <w:contextualSpacing/>
        <w:rPr>
          <w:rFonts w:cstheme="minorHAnsi"/>
        </w:rPr>
      </w:pPr>
      <w:r w:rsidRPr="00167229">
        <w:rPr>
          <w:rFonts w:cstheme="minorHAnsi"/>
        </w:rPr>
        <w:t xml:space="preserve">Areas of interest: </w:t>
      </w:r>
    </w:p>
    <w:p w14:paraId="6A29539F" w14:textId="77777777" w:rsidR="001A32A5" w:rsidRPr="00167229" w:rsidRDefault="001A32A5" w:rsidP="001A32A5">
      <w:pPr>
        <w:ind w:left="720"/>
        <w:contextualSpacing/>
        <w:rPr>
          <w:rFonts w:cstheme="minorHAnsi"/>
        </w:rPr>
      </w:pPr>
      <w:r w:rsidRPr="00167229">
        <w:rPr>
          <w:rFonts w:cstheme="minorHAnsi"/>
        </w:rPr>
        <w:t>Operation of the defences</w:t>
      </w:r>
    </w:p>
    <w:p w14:paraId="4E79F678" w14:textId="77777777" w:rsidR="001A32A5" w:rsidRPr="00167229" w:rsidRDefault="001A32A5" w:rsidP="001A32A5">
      <w:pPr>
        <w:ind w:left="720"/>
        <w:contextualSpacing/>
        <w:rPr>
          <w:rFonts w:cstheme="minorHAnsi"/>
        </w:rPr>
      </w:pPr>
      <w:r w:rsidRPr="00167229">
        <w:rPr>
          <w:rFonts w:cstheme="minorHAnsi"/>
          <w:color w:val="000000"/>
        </w:rPr>
        <w:t>Has the criminal law over-excluded motive?</w:t>
      </w:r>
    </w:p>
    <w:p w14:paraId="37F12F2A" w14:textId="77777777" w:rsidR="001A32A5" w:rsidRPr="00167229" w:rsidRDefault="001A32A5" w:rsidP="001A32A5">
      <w:pPr>
        <w:shd w:val="clear" w:color="auto" w:fill="FFFFFF"/>
        <w:contextualSpacing/>
        <w:rPr>
          <w:rFonts w:cstheme="minorHAnsi"/>
          <w:color w:val="000000"/>
        </w:rPr>
      </w:pPr>
    </w:p>
    <w:p w14:paraId="3AAB225E" w14:textId="77777777" w:rsidR="001A32A5" w:rsidRPr="00744FCF" w:rsidRDefault="001A32A5" w:rsidP="001A32A5">
      <w:pPr>
        <w:shd w:val="clear" w:color="auto" w:fill="FFFFFF"/>
        <w:contextualSpacing/>
        <w:rPr>
          <w:rFonts w:cstheme="minorHAnsi"/>
          <w:color w:val="000000"/>
        </w:rPr>
      </w:pPr>
    </w:p>
    <w:p w14:paraId="52524E42" w14:textId="77777777" w:rsidR="001A32A5" w:rsidRPr="00167229" w:rsidRDefault="001A32A5" w:rsidP="001A32A5">
      <w:pPr>
        <w:shd w:val="clear" w:color="auto" w:fill="FFFFFF"/>
        <w:contextualSpacing/>
        <w:rPr>
          <w:rFonts w:cstheme="minorHAnsi"/>
          <w:b/>
          <w:bCs/>
          <w:color w:val="000000"/>
        </w:rPr>
      </w:pPr>
      <w:r w:rsidRPr="00167229">
        <w:rPr>
          <w:rFonts w:cstheme="minorHAnsi"/>
          <w:b/>
          <w:bCs/>
          <w:color w:val="000000"/>
        </w:rPr>
        <w:t>Select references:</w:t>
      </w:r>
    </w:p>
    <w:p w14:paraId="3A911936" w14:textId="77777777" w:rsidR="001A32A5" w:rsidRPr="00167229" w:rsidRDefault="001A32A5" w:rsidP="001A32A5">
      <w:pPr>
        <w:rPr>
          <w:rFonts w:eastAsia="Times New Roman" w:cstheme="minorHAnsi"/>
          <w:lang w:eastAsia="en-GB"/>
        </w:rPr>
      </w:pPr>
      <w:proofErr w:type="spellStart"/>
      <w:r w:rsidRPr="00167229">
        <w:rPr>
          <w:rFonts w:cstheme="minorHAnsi"/>
          <w:i/>
          <w:iCs/>
          <w:color w:val="000000"/>
        </w:rPr>
        <w:t>Woollin</w:t>
      </w:r>
      <w:proofErr w:type="spellEnd"/>
      <w:r w:rsidRPr="00167229">
        <w:rPr>
          <w:rFonts w:cstheme="minorHAnsi"/>
          <w:color w:val="000000"/>
        </w:rPr>
        <w:t xml:space="preserve"> [1999] 1 A.C. 82; [1998] 7 WLUK 448 (HL)</w:t>
      </w:r>
      <w:r w:rsidRPr="00167229">
        <w:rPr>
          <w:rFonts w:cstheme="minorHAnsi"/>
          <w:color w:val="000000"/>
        </w:rPr>
        <w:tab/>
      </w:r>
      <w:r w:rsidRPr="00167229">
        <w:rPr>
          <w:rFonts w:cstheme="minorHAnsi"/>
          <w:color w:val="000000"/>
        </w:rPr>
        <w:tab/>
      </w:r>
      <w:proofErr w:type="spellStart"/>
      <w:r w:rsidRPr="00167229">
        <w:rPr>
          <w:rFonts w:cstheme="minorHAnsi"/>
          <w:i/>
          <w:iCs/>
          <w:color w:val="000000"/>
        </w:rPr>
        <w:t>Elsherkisi</w:t>
      </w:r>
      <w:proofErr w:type="spellEnd"/>
      <w:r w:rsidRPr="00167229">
        <w:rPr>
          <w:rFonts w:cstheme="minorHAnsi"/>
          <w:i/>
          <w:iCs/>
          <w:color w:val="000000"/>
        </w:rPr>
        <w:t xml:space="preserve"> </w:t>
      </w:r>
      <w:r w:rsidRPr="00167229">
        <w:rPr>
          <w:rFonts w:eastAsia="Times New Roman" w:cstheme="minorHAnsi"/>
          <w:lang w:eastAsia="en-GB"/>
        </w:rPr>
        <w:t>[2011] HCJAC 100</w:t>
      </w:r>
    </w:p>
    <w:p w14:paraId="6B810149" w14:textId="77777777" w:rsidR="001A32A5" w:rsidRPr="00167229" w:rsidRDefault="001A32A5" w:rsidP="001A32A5">
      <w:pPr>
        <w:rPr>
          <w:rFonts w:eastAsia="Times New Roman" w:cstheme="minorHAnsi"/>
          <w:lang w:eastAsia="en-GB"/>
        </w:rPr>
      </w:pPr>
      <w:r w:rsidRPr="00167229">
        <w:rPr>
          <w:rFonts w:cstheme="minorHAnsi"/>
          <w:i/>
          <w:iCs/>
        </w:rPr>
        <w:t>In re A</w:t>
      </w:r>
      <w:r w:rsidRPr="00167229">
        <w:rPr>
          <w:rFonts w:cstheme="minorHAnsi"/>
        </w:rPr>
        <w:t xml:space="preserve"> [2001] Fam 147</w:t>
      </w:r>
      <w:r w:rsidRPr="00167229">
        <w:rPr>
          <w:rFonts w:cstheme="minorHAnsi"/>
        </w:rPr>
        <w:tab/>
      </w:r>
      <w:r w:rsidRPr="00167229">
        <w:rPr>
          <w:rFonts w:cstheme="minorHAnsi"/>
        </w:rPr>
        <w:tab/>
      </w:r>
      <w:r w:rsidRPr="00167229">
        <w:rPr>
          <w:rFonts w:cstheme="minorHAnsi"/>
        </w:rPr>
        <w:tab/>
      </w:r>
      <w:r w:rsidRPr="00167229">
        <w:rPr>
          <w:rFonts w:cstheme="minorHAnsi"/>
        </w:rPr>
        <w:tab/>
      </w:r>
      <w:r w:rsidRPr="00167229">
        <w:rPr>
          <w:rFonts w:cstheme="minorHAnsi"/>
        </w:rPr>
        <w:tab/>
      </w:r>
      <w:r w:rsidRPr="00167229">
        <w:rPr>
          <w:rFonts w:cstheme="minorHAnsi"/>
          <w:i/>
          <w:iCs/>
          <w:color w:val="000000"/>
        </w:rPr>
        <w:t xml:space="preserve">Purcell </w:t>
      </w:r>
      <w:r w:rsidRPr="00167229">
        <w:rPr>
          <w:rFonts w:eastAsia="Times New Roman" w:cstheme="minorHAnsi"/>
          <w:lang w:eastAsia="en-GB"/>
        </w:rPr>
        <w:t>[2007] HCJ 13</w:t>
      </w:r>
    </w:p>
    <w:p w14:paraId="4F1B3119" w14:textId="77777777" w:rsidR="001A32A5" w:rsidRPr="00F67F72" w:rsidRDefault="001A32A5" w:rsidP="001A32A5">
      <w:pPr>
        <w:rPr>
          <w:rFonts w:eastAsia="Times New Roman" w:cstheme="minorHAnsi"/>
          <w:lang w:eastAsia="en-GB"/>
        </w:rPr>
      </w:pPr>
      <w:r w:rsidRPr="00F67F72">
        <w:rPr>
          <w:rFonts w:eastAsia="Times New Roman" w:cstheme="minorHAnsi"/>
          <w:i/>
          <w:iCs/>
          <w:color w:val="000000"/>
          <w:lang w:eastAsia="en-GB"/>
        </w:rPr>
        <w:t>Drury</w:t>
      </w:r>
      <w:r w:rsidRPr="00F67F72">
        <w:rPr>
          <w:rFonts w:eastAsia="Times New Roman" w:cstheme="minorHAnsi"/>
          <w:color w:val="000000"/>
          <w:lang w:eastAsia="en-GB"/>
        </w:rPr>
        <w:t xml:space="preserve"> 2001 S.L.T. 1013</w:t>
      </w:r>
      <w:r w:rsidRPr="00167229">
        <w:rPr>
          <w:rFonts w:eastAsia="Times New Roman" w:cstheme="minorHAnsi"/>
          <w:color w:val="000000"/>
          <w:lang w:eastAsia="en-GB"/>
        </w:rPr>
        <w:tab/>
      </w:r>
      <w:r w:rsidRPr="00167229">
        <w:rPr>
          <w:rFonts w:eastAsia="Times New Roman" w:cstheme="minorHAnsi"/>
          <w:color w:val="000000"/>
          <w:lang w:eastAsia="en-GB"/>
        </w:rPr>
        <w:tab/>
      </w:r>
      <w:r w:rsidRPr="00167229">
        <w:rPr>
          <w:rFonts w:eastAsia="Times New Roman" w:cstheme="minorHAnsi"/>
          <w:color w:val="000000"/>
          <w:lang w:eastAsia="en-GB"/>
        </w:rPr>
        <w:tab/>
      </w:r>
      <w:r w:rsidRPr="00167229">
        <w:rPr>
          <w:rFonts w:eastAsia="Times New Roman" w:cstheme="minorHAnsi"/>
          <w:color w:val="000000"/>
          <w:lang w:eastAsia="en-GB"/>
        </w:rPr>
        <w:tab/>
      </w:r>
      <w:r w:rsidRPr="00167229">
        <w:rPr>
          <w:rFonts w:eastAsia="Times New Roman" w:cstheme="minorHAnsi"/>
          <w:color w:val="000000"/>
          <w:lang w:eastAsia="en-GB"/>
        </w:rPr>
        <w:tab/>
      </w:r>
      <w:r w:rsidRPr="00167229">
        <w:rPr>
          <w:rFonts w:cstheme="minorHAnsi"/>
          <w:i/>
          <w:iCs/>
          <w:color w:val="000000"/>
        </w:rPr>
        <w:t>Petto</w:t>
      </w:r>
      <w:r w:rsidRPr="00167229">
        <w:rPr>
          <w:rFonts w:cstheme="minorHAnsi"/>
          <w:color w:val="000000"/>
        </w:rPr>
        <w:t xml:space="preserve"> [</w:t>
      </w:r>
      <w:r w:rsidRPr="00167229">
        <w:rPr>
          <w:rFonts w:eastAsia="Times New Roman" w:cstheme="minorHAnsi"/>
          <w:lang w:eastAsia="en-GB"/>
        </w:rPr>
        <w:t>2011] HCJAC 80</w:t>
      </w:r>
    </w:p>
    <w:p w14:paraId="6137755B" w14:textId="77777777" w:rsidR="001A32A5" w:rsidRPr="00167229" w:rsidRDefault="001A32A5" w:rsidP="001A32A5">
      <w:pPr>
        <w:shd w:val="clear" w:color="auto" w:fill="FFFFFF"/>
        <w:contextualSpacing/>
        <w:rPr>
          <w:rFonts w:cstheme="minorHAnsi"/>
          <w:color w:val="000000"/>
        </w:rPr>
      </w:pPr>
    </w:p>
    <w:p w14:paraId="279E05C4" w14:textId="77777777" w:rsidR="001A32A5" w:rsidRPr="00167229" w:rsidRDefault="001A32A5" w:rsidP="001A32A5">
      <w:pPr>
        <w:contextualSpacing/>
        <w:rPr>
          <w:rFonts w:cstheme="minorHAnsi"/>
        </w:rPr>
      </w:pPr>
      <w:r w:rsidRPr="00167229">
        <w:rPr>
          <w:rFonts w:cstheme="minorHAnsi"/>
        </w:rPr>
        <w:t xml:space="preserve">Law Commission, </w:t>
      </w:r>
      <w:r w:rsidRPr="00167229">
        <w:rPr>
          <w:rFonts w:cstheme="minorHAnsi"/>
          <w:i/>
          <w:iCs/>
        </w:rPr>
        <w:t xml:space="preserve">Murder, Manslaughter and Infanticide, </w:t>
      </w:r>
      <w:r w:rsidRPr="00167229">
        <w:rPr>
          <w:rFonts w:cstheme="minorHAnsi"/>
        </w:rPr>
        <w:t>2006</w:t>
      </w:r>
    </w:p>
    <w:p w14:paraId="745004A5" w14:textId="77777777" w:rsidR="001A32A5" w:rsidRPr="00167229" w:rsidRDefault="001A32A5" w:rsidP="001A32A5">
      <w:pPr>
        <w:contextualSpacing/>
        <w:rPr>
          <w:rFonts w:cstheme="minorHAnsi"/>
        </w:rPr>
      </w:pPr>
    </w:p>
    <w:p w14:paraId="3CCF22FB" w14:textId="77777777" w:rsidR="001A32A5" w:rsidRPr="00167229" w:rsidRDefault="001A32A5" w:rsidP="001A32A5">
      <w:pPr>
        <w:contextualSpacing/>
        <w:rPr>
          <w:rFonts w:cstheme="minorHAnsi"/>
        </w:rPr>
      </w:pPr>
      <w:proofErr w:type="spellStart"/>
      <w:r w:rsidRPr="00167229">
        <w:rPr>
          <w:rFonts w:cstheme="minorHAnsi"/>
        </w:rPr>
        <w:t>A.Ashworth</w:t>
      </w:r>
      <w:proofErr w:type="spellEnd"/>
      <w:r w:rsidRPr="00167229">
        <w:rPr>
          <w:rFonts w:cstheme="minorHAnsi"/>
        </w:rPr>
        <w:t xml:space="preserve">, Criminal Liability in a Medical Context: The Treatment of Good Intentions, pp.173-194 in </w:t>
      </w:r>
      <w:proofErr w:type="spellStart"/>
      <w:r w:rsidRPr="00167229">
        <w:rPr>
          <w:rFonts w:cstheme="minorHAnsi"/>
        </w:rPr>
        <w:t>Simester</w:t>
      </w:r>
      <w:proofErr w:type="spellEnd"/>
      <w:r w:rsidRPr="00167229">
        <w:rPr>
          <w:rFonts w:cstheme="minorHAnsi"/>
        </w:rPr>
        <w:t xml:space="preserve"> and Smith eds, </w:t>
      </w:r>
      <w:r w:rsidRPr="00167229">
        <w:rPr>
          <w:rFonts w:cstheme="minorHAnsi"/>
          <w:i/>
          <w:iCs/>
        </w:rPr>
        <w:t xml:space="preserve">Harm and Culpability, </w:t>
      </w:r>
      <w:r w:rsidRPr="00167229">
        <w:rPr>
          <w:rFonts w:cstheme="minorHAnsi"/>
        </w:rPr>
        <w:t xml:space="preserve"> Oxford, 1996</w:t>
      </w:r>
    </w:p>
    <w:p w14:paraId="717DC688" w14:textId="77777777" w:rsidR="001A32A5" w:rsidRPr="00167229" w:rsidRDefault="001A32A5" w:rsidP="001A32A5">
      <w:pPr>
        <w:contextualSpacing/>
        <w:rPr>
          <w:rFonts w:cstheme="minorHAnsi"/>
        </w:rPr>
      </w:pPr>
    </w:p>
    <w:p w14:paraId="013636F6" w14:textId="77777777" w:rsidR="001A32A5" w:rsidRPr="00167229" w:rsidRDefault="001A32A5" w:rsidP="001A32A5">
      <w:pPr>
        <w:contextualSpacing/>
        <w:rPr>
          <w:rFonts w:cstheme="minorHAnsi"/>
          <w:color w:val="000000"/>
        </w:rPr>
      </w:pPr>
      <w:proofErr w:type="spellStart"/>
      <w:r w:rsidRPr="00167229">
        <w:rPr>
          <w:rFonts w:cstheme="minorHAnsi"/>
          <w:color w:val="000000"/>
        </w:rPr>
        <w:t>A.Pedain</w:t>
      </w:r>
      <w:proofErr w:type="spellEnd"/>
      <w:r w:rsidRPr="00167229">
        <w:rPr>
          <w:rFonts w:cstheme="minorHAnsi"/>
          <w:color w:val="000000"/>
        </w:rPr>
        <w:t>, Intention and the terrorist example, Crim. L.. 2003, Sep, 579-593</w:t>
      </w:r>
    </w:p>
    <w:p w14:paraId="17E7300B" w14:textId="77777777" w:rsidR="001A32A5" w:rsidRPr="00167229" w:rsidRDefault="001A32A5" w:rsidP="001A32A5">
      <w:pPr>
        <w:contextualSpacing/>
        <w:rPr>
          <w:rFonts w:cstheme="minorHAnsi"/>
          <w:color w:val="000000"/>
        </w:rPr>
      </w:pPr>
    </w:p>
    <w:p w14:paraId="1B2AE413" w14:textId="77777777" w:rsidR="001A32A5" w:rsidRPr="00167229" w:rsidRDefault="001A32A5" w:rsidP="001A32A5">
      <w:pPr>
        <w:shd w:val="clear" w:color="auto" w:fill="FFFFFF"/>
        <w:contextualSpacing/>
        <w:rPr>
          <w:rFonts w:cstheme="minorHAnsi"/>
          <w:color w:val="000000"/>
        </w:rPr>
      </w:pPr>
      <w:r w:rsidRPr="00167229">
        <w:rPr>
          <w:rFonts w:cstheme="minorHAnsi"/>
          <w:color w:val="000000"/>
        </w:rPr>
        <w:t>W. Wilson, The structure of criminal homicide, Crim. L.R. 2006, Jun, 471-485</w:t>
      </w:r>
    </w:p>
    <w:p w14:paraId="577C7638" w14:textId="77777777" w:rsidR="001A32A5" w:rsidRPr="00167229" w:rsidRDefault="001A32A5" w:rsidP="001A32A5">
      <w:pPr>
        <w:contextualSpacing/>
        <w:rPr>
          <w:rFonts w:cstheme="minorHAnsi"/>
          <w:color w:val="000000"/>
        </w:rPr>
      </w:pPr>
    </w:p>
    <w:p w14:paraId="5CD02536" w14:textId="77777777" w:rsidR="001A32A5" w:rsidRPr="00167229" w:rsidRDefault="001A32A5" w:rsidP="001A32A5">
      <w:pPr>
        <w:shd w:val="clear" w:color="auto" w:fill="FFFFFF"/>
        <w:contextualSpacing/>
        <w:rPr>
          <w:rFonts w:cstheme="minorHAnsi"/>
          <w:color w:val="000000"/>
        </w:rPr>
      </w:pPr>
      <w:r w:rsidRPr="00167229">
        <w:rPr>
          <w:rFonts w:cstheme="minorHAnsi"/>
          <w:color w:val="000000"/>
        </w:rPr>
        <w:t xml:space="preserve">Ashworth and Mitchell eds, </w:t>
      </w:r>
      <w:r w:rsidRPr="00167229">
        <w:rPr>
          <w:rFonts w:cstheme="minorHAnsi"/>
          <w:i/>
          <w:iCs/>
          <w:color w:val="000000"/>
        </w:rPr>
        <w:t xml:space="preserve">Rethinking English Homicide Law, </w:t>
      </w:r>
      <w:r w:rsidRPr="00167229">
        <w:rPr>
          <w:rFonts w:cstheme="minorHAnsi"/>
          <w:color w:val="000000"/>
        </w:rPr>
        <w:t>OUP, 2000</w:t>
      </w:r>
    </w:p>
    <w:p w14:paraId="38306920" w14:textId="77777777" w:rsidR="001A32A5" w:rsidRPr="00167229" w:rsidRDefault="001A32A5" w:rsidP="001A32A5">
      <w:pPr>
        <w:contextualSpacing/>
        <w:rPr>
          <w:rFonts w:cstheme="minorHAnsi"/>
          <w:color w:val="000000"/>
        </w:rPr>
      </w:pPr>
    </w:p>
    <w:p w14:paraId="343DC8AB" w14:textId="77777777" w:rsidR="001A32A5" w:rsidRPr="00167229" w:rsidRDefault="001A32A5" w:rsidP="001A32A5">
      <w:pPr>
        <w:shd w:val="clear" w:color="auto" w:fill="FFFFFF"/>
        <w:spacing w:after="240"/>
        <w:contextualSpacing/>
        <w:rPr>
          <w:rFonts w:cstheme="minorHAnsi"/>
          <w:color w:val="000000"/>
        </w:rPr>
      </w:pPr>
      <w:r w:rsidRPr="00167229">
        <w:rPr>
          <w:rFonts w:cstheme="minorHAnsi"/>
          <w:color w:val="000000"/>
        </w:rPr>
        <w:t xml:space="preserve">Law Reform Commission, </w:t>
      </w:r>
      <w:r w:rsidRPr="00167229">
        <w:rPr>
          <w:rFonts w:cstheme="minorHAnsi"/>
          <w:i/>
          <w:iCs/>
          <w:color w:val="000000"/>
        </w:rPr>
        <w:t>Report on Homicide: Murder and Involuntary Manslaughter</w:t>
      </w:r>
      <w:r w:rsidRPr="00167229">
        <w:rPr>
          <w:rFonts w:cstheme="minorHAnsi"/>
          <w:color w:val="000000"/>
        </w:rPr>
        <w:t>, Dublin, 2008</w:t>
      </w:r>
      <w:r w:rsidRPr="00167229">
        <w:rPr>
          <w:rStyle w:val="FootnoteReference"/>
          <w:rFonts w:cstheme="minorHAnsi"/>
          <w:color w:val="000000"/>
        </w:rPr>
        <w:footnoteReference w:id="1"/>
      </w:r>
    </w:p>
    <w:p w14:paraId="41480C02" w14:textId="77777777" w:rsidR="001A32A5" w:rsidRPr="00167229" w:rsidRDefault="001A32A5" w:rsidP="001A32A5">
      <w:pPr>
        <w:contextualSpacing/>
        <w:rPr>
          <w:rFonts w:cstheme="minorHAnsi"/>
          <w:color w:val="000000"/>
        </w:rPr>
      </w:pPr>
    </w:p>
    <w:p w14:paraId="040171EF" w14:textId="77777777" w:rsidR="001A32A5" w:rsidRPr="00167229" w:rsidRDefault="001A32A5" w:rsidP="001A32A5">
      <w:pPr>
        <w:contextualSpacing/>
        <w:rPr>
          <w:rFonts w:cstheme="minorHAnsi"/>
          <w:color w:val="000000" w:themeColor="text1"/>
        </w:rPr>
      </w:pPr>
      <w:r w:rsidRPr="00167229">
        <w:rPr>
          <w:rFonts w:cstheme="minorHAnsi"/>
          <w:color w:val="000000" w:themeColor="text1"/>
        </w:rPr>
        <w:t xml:space="preserve">Scottish Law Commission, </w:t>
      </w:r>
      <w:r w:rsidRPr="00167229">
        <w:rPr>
          <w:rFonts w:cstheme="minorHAnsi"/>
          <w:i/>
          <w:iCs/>
          <w:color w:val="000000" w:themeColor="text1"/>
        </w:rPr>
        <w:t>Discussion Paper on the Mental Element in Homicide</w:t>
      </w:r>
      <w:r w:rsidRPr="00167229">
        <w:rPr>
          <w:rFonts w:cstheme="minorHAnsi"/>
          <w:color w:val="000000" w:themeColor="text1"/>
        </w:rPr>
        <w:t>, May 2021</w:t>
      </w:r>
      <w:r w:rsidRPr="00167229">
        <w:rPr>
          <w:rStyle w:val="FootnoteReference"/>
          <w:rFonts w:cstheme="minorHAnsi"/>
          <w:color w:val="000000" w:themeColor="text1"/>
        </w:rPr>
        <w:footnoteReference w:id="2"/>
      </w:r>
    </w:p>
    <w:p w14:paraId="467CA30F" w14:textId="77777777" w:rsidR="001A32A5" w:rsidRPr="00167229" w:rsidRDefault="001A32A5" w:rsidP="001A32A5">
      <w:pPr>
        <w:contextualSpacing/>
        <w:rPr>
          <w:rFonts w:cstheme="minorHAnsi"/>
          <w:color w:val="000000"/>
        </w:rPr>
      </w:pPr>
    </w:p>
    <w:p w14:paraId="368849FF" w14:textId="77777777" w:rsidR="001A32A5" w:rsidRDefault="001A32A5" w:rsidP="001A32A5">
      <w:pPr>
        <w:shd w:val="clear" w:color="auto" w:fill="FFFFFF"/>
        <w:contextualSpacing/>
        <w:rPr>
          <w:rFonts w:cstheme="minorHAnsi"/>
          <w:color w:val="000000"/>
        </w:rPr>
      </w:pPr>
      <w:proofErr w:type="spellStart"/>
      <w:r w:rsidRPr="00167229">
        <w:rPr>
          <w:rFonts w:cstheme="minorHAnsi"/>
          <w:color w:val="000000"/>
        </w:rPr>
        <w:t>C.McDiarmid</w:t>
      </w:r>
      <w:proofErr w:type="spellEnd"/>
      <w:r w:rsidRPr="00167229">
        <w:rPr>
          <w:rFonts w:cstheme="minorHAnsi"/>
          <w:color w:val="000000"/>
        </w:rPr>
        <w:t>, "Something wicked this way comes": the mens rea of murder in Scots law, Jur. Rev. 2012, 4, 283-304</w:t>
      </w:r>
    </w:p>
    <w:p w14:paraId="258B836C" w14:textId="77777777" w:rsidR="001A32A5" w:rsidRDefault="001A32A5" w:rsidP="001A32A5">
      <w:pPr>
        <w:shd w:val="clear" w:color="auto" w:fill="FFFFFF"/>
        <w:contextualSpacing/>
        <w:rPr>
          <w:rFonts w:cstheme="minorHAnsi"/>
          <w:color w:val="000000"/>
        </w:rPr>
      </w:pPr>
    </w:p>
    <w:p w14:paraId="743D7A28" w14:textId="77777777" w:rsidR="001A32A5" w:rsidRPr="00697E52" w:rsidRDefault="001A32A5" w:rsidP="001A32A5">
      <w:r w:rsidRPr="00697E52">
        <w:t xml:space="preserve">Lee, C. </w:t>
      </w:r>
      <w:r w:rsidRPr="00697E52">
        <w:rPr>
          <w:i/>
          <w:iCs/>
        </w:rPr>
        <w:t xml:space="preserve">Murder and the Reasonable Man: Passion and Fear in the Criminal Courtroom, </w:t>
      </w:r>
      <w:r w:rsidRPr="00697E52">
        <w:t>New York University Press, New York and London, 2003</w:t>
      </w:r>
    </w:p>
    <w:p w14:paraId="75844C03" w14:textId="77777777" w:rsidR="001A32A5" w:rsidRPr="00167229" w:rsidRDefault="001A32A5" w:rsidP="001A32A5">
      <w:pPr>
        <w:contextualSpacing/>
        <w:rPr>
          <w:rFonts w:cstheme="minorHAnsi"/>
        </w:rPr>
      </w:pPr>
    </w:p>
    <w:p w14:paraId="6F64F61D" w14:textId="77777777" w:rsidR="001A32A5" w:rsidRPr="00167229" w:rsidRDefault="001A32A5" w:rsidP="001A32A5">
      <w:pPr>
        <w:contextualSpacing/>
        <w:rPr>
          <w:rFonts w:cstheme="minorHAnsi"/>
        </w:rPr>
      </w:pPr>
      <w:r w:rsidRPr="00167229">
        <w:rPr>
          <w:rFonts w:cstheme="minorHAnsi"/>
        </w:rPr>
        <w:t>A.Norrie, Legal and social murder?,</w:t>
      </w:r>
      <w:r w:rsidRPr="00167229">
        <w:rPr>
          <w:rFonts w:cstheme="minorHAnsi"/>
          <w:i/>
          <w:iCs/>
        </w:rPr>
        <w:t xml:space="preserve"> </w:t>
      </w:r>
      <w:r w:rsidRPr="00167229">
        <w:rPr>
          <w:rFonts w:cstheme="minorHAnsi"/>
        </w:rPr>
        <w:t>Crim L.R 2018 and S&amp;LS Blog</w:t>
      </w:r>
      <w:r w:rsidRPr="00167229">
        <w:rPr>
          <w:rStyle w:val="FootnoteReference"/>
          <w:rFonts w:cstheme="minorHAnsi"/>
        </w:rPr>
        <w:footnoteReference w:id="3"/>
      </w:r>
    </w:p>
    <w:p w14:paraId="0F42AD73" w14:textId="77777777" w:rsidR="001A32A5" w:rsidRPr="00167229" w:rsidRDefault="001A32A5" w:rsidP="001A32A5">
      <w:pPr>
        <w:contextualSpacing/>
        <w:rPr>
          <w:rFonts w:cstheme="minorHAnsi"/>
        </w:rPr>
      </w:pPr>
    </w:p>
    <w:p w14:paraId="0C04D272" w14:textId="77777777" w:rsidR="001A32A5" w:rsidRPr="00167229" w:rsidRDefault="001A32A5" w:rsidP="001A32A5">
      <w:pPr>
        <w:shd w:val="clear" w:color="auto" w:fill="FFFFFF"/>
        <w:spacing w:line="360" w:lineRule="auto"/>
        <w:contextualSpacing/>
        <w:rPr>
          <w:rFonts w:cstheme="minorHAnsi"/>
          <w:color w:val="000000"/>
        </w:rPr>
      </w:pPr>
      <w:r w:rsidRPr="00167229">
        <w:rPr>
          <w:rFonts w:cstheme="minorHAnsi"/>
          <w:color w:val="000000"/>
        </w:rPr>
        <w:t xml:space="preserve">P. Apps, </w:t>
      </w:r>
      <w:r w:rsidRPr="00167229">
        <w:rPr>
          <w:rFonts w:cstheme="minorHAnsi"/>
          <w:i/>
          <w:iCs/>
          <w:color w:val="000000"/>
        </w:rPr>
        <w:t>Show Me The Bodies: How We Let Grenfell Happen</w:t>
      </w:r>
      <w:r w:rsidRPr="00167229">
        <w:rPr>
          <w:rFonts w:cstheme="minorHAnsi"/>
          <w:color w:val="000000"/>
        </w:rPr>
        <w:t>, London, 2022</w:t>
      </w:r>
    </w:p>
    <w:p w14:paraId="300A25B3" w14:textId="77777777" w:rsidR="001A32A5" w:rsidRPr="00167229" w:rsidRDefault="001A32A5" w:rsidP="001A32A5">
      <w:pPr>
        <w:contextualSpacing/>
        <w:rPr>
          <w:rFonts w:cstheme="minorHAnsi"/>
        </w:rPr>
      </w:pPr>
    </w:p>
    <w:p w14:paraId="1055060B" w14:textId="77777777" w:rsidR="001A32A5" w:rsidRPr="00167229" w:rsidRDefault="001A32A5" w:rsidP="001A32A5">
      <w:pPr>
        <w:contextualSpacing/>
        <w:rPr>
          <w:rFonts w:cstheme="minorHAnsi"/>
        </w:rPr>
      </w:pPr>
      <w:r w:rsidRPr="00167229">
        <w:rPr>
          <w:rFonts w:cstheme="minorHAnsi"/>
        </w:rPr>
        <w:t xml:space="preserve">Grenfell Tower Inquiry, </w:t>
      </w:r>
      <w:r w:rsidRPr="00167229">
        <w:rPr>
          <w:rFonts w:cstheme="minorHAnsi"/>
          <w:i/>
          <w:iCs/>
        </w:rPr>
        <w:t>Phase 1 Report Overview</w:t>
      </w:r>
      <w:r w:rsidRPr="00167229">
        <w:rPr>
          <w:rFonts w:cstheme="minorHAnsi"/>
        </w:rPr>
        <w:t>, October 2019</w:t>
      </w:r>
      <w:r w:rsidRPr="00167229">
        <w:rPr>
          <w:rStyle w:val="FootnoteReference"/>
          <w:rFonts w:cstheme="minorHAnsi"/>
        </w:rPr>
        <w:footnoteReference w:id="4"/>
      </w:r>
    </w:p>
    <w:p w14:paraId="0F5ABB0F" w14:textId="77777777" w:rsidR="00A85E0F" w:rsidRDefault="00A85E0F"/>
    <w:sectPr w:rsidR="00A85E0F">
      <w:headerReference w:type="default" r:id="rId7"/>
      <w:footerReference w:type="even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0BB3D7" w14:textId="77777777" w:rsidR="001657FE" w:rsidRDefault="001657FE" w:rsidP="001A32A5">
      <w:r>
        <w:separator/>
      </w:r>
    </w:p>
  </w:endnote>
  <w:endnote w:type="continuationSeparator" w:id="0">
    <w:p w14:paraId="159BA512" w14:textId="77777777" w:rsidR="001657FE" w:rsidRDefault="001657FE" w:rsidP="001A3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220019709"/>
      <w:docPartObj>
        <w:docPartGallery w:val="Page Numbers (Bottom of Page)"/>
        <w:docPartUnique/>
      </w:docPartObj>
    </w:sdtPr>
    <w:sdtContent>
      <w:p w14:paraId="058E697C" w14:textId="77777777" w:rsidR="00000000" w:rsidRDefault="00655F93" w:rsidP="00F06A94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3717AA3" w14:textId="77777777" w:rsidR="00000000" w:rsidRDefault="000000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003660026"/>
      <w:docPartObj>
        <w:docPartGallery w:val="Page Numbers (Bottom of Page)"/>
        <w:docPartUnique/>
      </w:docPartObj>
    </w:sdtPr>
    <w:sdtContent>
      <w:p w14:paraId="3EDBDBF4" w14:textId="77777777" w:rsidR="00000000" w:rsidRDefault="00655F93" w:rsidP="00F06A94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1391E2B4" w14:textId="77777777" w:rsidR="00000000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0B2B32" w14:textId="77777777" w:rsidR="001657FE" w:rsidRDefault="001657FE" w:rsidP="001A32A5">
      <w:r>
        <w:separator/>
      </w:r>
    </w:p>
  </w:footnote>
  <w:footnote w:type="continuationSeparator" w:id="0">
    <w:p w14:paraId="7D85B631" w14:textId="77777777" w:rsidR="001657FE" w:rsidRDefault="001657FE" w:rsidP="001A32A5">
      <w:r>
        <w:continuationSeparator/>
      </w:r>
    </w:p>
  </w:footnote>
  <w:footnote w:id="1">
    <w:p w14:paraId="28D58873" w14:textId="77777777" w:rsidR="001A32A5" w:rsidRPr="007869E7" w:rsidRDefault="001A32A5" w:rsidP="001A32A5">
      <w:pPr>
        <w:pStyle w:val="FootnoteText"/>
        <w:rPr>
          <w:sz w:val="22"/>
          <w:szCs w:val="22"/>
        </w:rPr>
      </w:pPr>
      <w:r w:rsidRPr="007869E7">
        <w:rPr>
          <w:rStyle w:val="FootnoteReference"/>
          <w:sz w:val="22"/>
          <w:szCs w:val="22"/>
        </w:rPr>
        <w:footnoteRef/>
      </w:r>
      <w:r w:rsidRPr="007869E7">
        <w:rPr>
          <w:sz w:val="22"/>
          <w:szCs w:val="22"/>
        </w:rPr>
        <w:t xml:space="preserve"> </w:t>
      </w:r>
      <w:hyperlink r:id="rId1" w:history="1">
        <w:r w:rsidRPr="007869E7">
          <w:rPr>
            <w:rStyle w:val="Hyperlink"/>
            <w:sz w:val="22"/>
            <w:szCs w:val="22"/>
          </w:rPr>
          <w:t>https://www.lawreform.ie/_fileupload/Reports/r87Homicide.pdf</w:t>
        </w:r>
      </w:hyperlink>
    </w:p>
  </w:footnote>
  <w:footnote w:id="2">
    <w:p w14:paraId="22E05CF3" w14:textId="77777777" w:rsidR="001A32A5" w:rsidRPr="008E3D0F" w:rsidRDefault="001A32A5" w:rsidP="001A32A5">
      <w:pPr>
        <w:rPr>
          <w:color w:val="000000" w:themeColor="text1"/>
          <w:sz w:val="22"/>
          <w:szCs w:val="22"/>
        </w:rPr>
      </w:pPr>
      <w:r w:rsidRPr="008E3D0F">
        <w:rPr>
          <w:rStyle w:val="FootnoteReference"/>
          <w:sz w:val="22"/>
          <w:szCs w:val="22"/>
        </w:rPr>
        <w:footnoteRef/>
      </w:r>
      <w:r w:rsidRPr="008E3D0F">
        <w:rPr>
          <w:sz w:val="22"/>
          <w:szCs w:val="22"/>
        </w:rPr>
        <w:t xml:space="preserve"> </w:t>
      </w:r>
      <w:hyperlink r:id="rId2" w:history="1">
        <w:r w:rsidRPr="008E3D0F">
          <w:rPr>
            <w:rStyle w:val="Hyperlink"/>
            <w:sz w:val="22"/>
            <w:szCs w:val="22"/>
          </w:rPr>
          <w:t>https://www.scotlawcom.gov.uk/law-reform/law-reform-projects/homicide/</w:t>
        </w:r>
      </w:hyperlink>
    </w:p>
  </w:footnote>
  <w:footnote w:id="3">
    <w:p w14:paraId="145AA076" w14:textId="77777777" w:rsidR="001A32A5" w:rsidRPr="005855A6" w:rsidRDefault="001A32A5" w:rsidP="001A32A5">
      <w:pPr>
        <w:pStyle w:val="FootnoteText"/>
        <w:rPr>
          <w:sz w:val="22"/>
          <w:szCs w:val="22"/>
        </w:rPr>
      </w:pPr>
      <w:r w:rsidRPr="005855A6">
        <w:rPr>
          <w:rStyle w:val="FootnoteReference"/>
          <w:sz w:val="22"/>
          <w:szCs w:val="22"/>
        </w:rPr>
        <w:footnoteRef/>
      </w:r>
      <w:r w:rsidRPr="005855A6">
        <w:rPr>
          <w:sz w:val="22"/>
          <w:szCs w:val="22"/>
        </w:rPr>
        <w:t xml:space="preserve"> </w:t>
      </w:r>
      <w:hyperlink r:id="rId3" w:history="1">
        <w:r w:rsidRPr="005855A6">
          <w:rPr>
            <w:rStyle w:val="Hyperlink"/>
            <w:sz w:val="22"/>
            <w:szCs w:val="22"/>
          </w:rPr>
          <w:t>https://socialandlegalstudies.wordpress.com/2019/06/14/murder-at-grenfell/</w:t>
        </w:r>
      </w:hyperlink>
    </w:p>
  </w:footnote>
  <w:footnote w:id="4">
    <w:p w14:paraId="73CA7B99" w14:textId="77777777" w:rsidR="001A32A5" w:rsidRDefault="001A32A5" w:rsidP="001A32A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4" w:history="1">
        <w:r w:rsidRPr="00F06A94">
          <w:rPr>
            <w:rStyle w:val="Hyperlink"/>
          </w:rPr>
          <w:t>https://assets.grenfelltowerinquiry.org.uk/GTI%20-% 20Phase%201%20report%20Executive%20Summary.pdf</w:t>
        </w:r>
      </w:hyperlink>
    </w:p>
    <w:p w14:paraId="39F48748" w14:textId="77777777" w:rsidR="001A32A5" w:rsidRDefault="001A32A5" w:rsidP="001A32A5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F6A1CE" w14:textId="77777777" w:rsidR="00000000" w:rsidRDefault="00655F93">
    <w:pPr>
      <w:pStyle w:val="Header"/>
    </w:pPr>
    <w:r>
      <w:t>WORK IN PROGRESS – NOT FOR CIRCULATION</w:t>
    </w:r>
    <w:r>
      <w:tab/>
    </w:r>
    <w:r>
      <w:tab/>
      <w:t>Ruth Coffey, May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01CB7"/>
    <w:multiLevelType w:val="hybridMultilevel"/>
    <w:tmpl w:val="38D6D56E"/>
    <w:lvl w:ilvl="0" w:tplc="04825640">
      <w:start w:val="1"/>
      <w:numFmt w:val="lowerRoman"/>
      <w:lvlText w:val="%1."/>
      <w:lvlJc w:val="left"/>
      <w:pPr>
        <w:ind w:left="1080" w:hanging="720"/>
      </w:pPr>
      <w:rPr>
        <w:rFonts w:hint="default"/>
        <w:b w:val="0"/>
        <w:bCs w:val="0"/>
      </w:rPr>
    </w:lvl>
    <w:lvl w:ilvl="1" w:tplc="9F1EBA00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474633"/>
    <w:multiLevelType w:val="hybridMultilevel"/>
    <w:tmpl w:val="74FED294"/>
    <w:lvl w:ilvl="0" w:tplc="4CAA7C14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F3638F3"/>
    <w:multiLevelType w:val="hybridMultilevel"/>
    <w:tmpl w:val="D568B4E0"/>
    <w:lvl w:ilvl="0" w:tplc="4E82605A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82122344">
    <w:abstractNumId w:val="0"/>
  </w:num>
  <w:num w:numId="2" w16cid:durableId="1035345899">
    <w:abstractNumId w:val="2"/>
  </w:num>
  <w:num w:numId="3" w16cid:durableId="6583156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2A5"/>
    <w:rsid w:val="001657FE"/>
    <w:rsid w:val="001A32A5"/>
    <w:rsid w:val="00655F93"/>
    <w:rsid w:val="00A85E0F"/>
    <w:rsid w:val="00D21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6DEB262"/>
  <w15:chartTrackingRefBased/>
  <w15:docId w15:val="{B538DF08-AB59-3E4C-B34A-511668429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32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32A5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1A32A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A32A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A32A5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1A32A5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1A32A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32A5"/>
  </w:style>
  <w:style w:type="character" w:styleId="PageNumber">
    <w:name w:val="page number"/>
    <w:basedOn w:val="DefaultParagraphFont"/>
    <w:uiPriority w:val="99"/>
    <w:semiHidden/>
    <w:unhideWhenUsed/>
    <w:rsid w:val="001A32A5"/>
  </w:style>
  <w:style w:type="paragraph" w:styleId="Header">
    <w:name w:val="header"/>
    <w:basedOn w:val="Normal"/>
    <w:link w:val="HeaderChar"/>
    <w:uiPriority w:val="99"/>
    <w:unhideWhenUsed/>
    <w:rsid w:val="001A32A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32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socialandlegalstudies.wordpress.com/2019/06/14/murder-at-grenfell/" TargetMode="External"/><Relationship Id="rId2" Type="http://schemas.openxmlformats.org/officeDocument/2006/relationships/hyperlink" Target="https://www.scotlawcom.gov.uk/law-reform/law-reform-projects/homicide/" TargetMode="External"/><Relationship Id="rId1" Type="http://schemas.openxmlformats.org/officeDocument/2006/relationships/hyperlink" Target="https://www.lawreform.ie/_fileupload/Reports/r87Homicide.pdf" TargetMode="External"/><Relationship Id="rId4" Type="http://schemas.openxmlformats.org/officeDocument/2006/relationships/hyperlink" Target="https://assets.grenfelltowerinquiry.org.uk/GTI%20-%25%2020Phase%201%20report%20Executive%20Summary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447</Words>
  <Characters>2553</Characters>
  <Application>Microsoft Office Word</Application>
  <DocSecurity>0</DocSecurity>
  <Lines>21</Lines>
  <Paragraphs>5</Paragraphs>
  <ScaleCrop>false</ScaleCrop>
  <Company/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Coffey, Ruth</dc:creator>
  <cp:keywords/>
  <dc:description/>
  <cp:lastModifiedBy>Matthew Dyson</cp:lastModifiedBy>
  <cp:revision>2</cp:revision>
  <dcterms:created xsi:type="dcterms:W3CDTF">2024-05-07T17:54:00Z</dcterms:created>
  <dcterms:modified xsi:type="dcterms:W3CDTF">2024-05-07T17:54:00Z</dcterms:modified>
</cp:coreProperties>
</file>