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E46DF" w14:textId="5EBF3A81" w:rsidR="00131FDC" w:rsidRPr="004256D6" w:rsidRDefault="00131FDC" w:rsidP="00131FDC">
      <w:pPr>
        <w:rPr>
          <w:rStyle w:val="Ref"/>
          <w:rFonts w:eastAsia="Calibri"/>
          <w:b/>
          <w:color w:val="000000"/>
          <w:szCs w:val="20"/>
        </w:rPr>
      </w:pPr>
      <w:r w:rsidRPr="004256D6">
        <w:rPr>
          <w:rStyle w:val="Ref"/>
          <w:rFonts w:eastAsia="Calibri"/>
          <w:b/>
          <w:color w:val="000000"/>
          <w:szCs w:val="20"/>
        </w:rPr>
        <w:t>P</w:t>
      </w:r>
      <w:r w:rsidR="006A4379">
        <w:rPr>
          <w:rStyle w:val="Ref"/>
          <w:rFonts w:eastAsia="Calibri"/>
          <w:b/>
          <w:color w:val="000000"/>
          <w:szCs w:val="20"/>
        </w:rPr>
        <w:t>ART</w:t>
      </w:r>
      <w:r w:rsidRPr="004256D6">
        <w:rPr>
          <w:rStyle w:val="Ref"/>
          <w:rFonts w:eastAsia="Calibri"/>
          <w:b/>
          <w:color w:val="000000"/>
          <w:szCs w:val="20"/>
        </w:rPr>
        <w:t xml:space="preserve"> I</w:t>
      </w:r>
      <w:r w:rsidRPr="004256D6">
        <w:rPr>
          <w:rStyle w:val="Ref"/>
          <w:rFonts w:eastAsia="Calibri"/>
          <w:b/>
          <w:color w:val="000000"/>
          <w:szCs w:val="20"/>
        </w:rPr>
        <w:tab/>
      </w:r>
    </w:p>
    <w:p w14:paraId="118A5F7F" w14:textId="6D12E88A" w:rsidR="00057DDB" w:rsidRPr="004256D6" w:rsidRDefault="00057DDB" w:rsidP="00131FDC">
      <w:pPr>
        <w:rPr>
          <w:rStyle w:val="Ref"/>
          <w:rFonts w:eastAsia="Calibri"/>
          <w:b/>
          <w:color w:val="000000"/>
          <w:szCs w:val="20"/>
        </w:rPr>
      </w:pPr>
      <w:r w:rsidRPr="004256D6">
        <w:rPr>
          <w:rStyle w:val="Ref"/>
          <w:rFonts w:eastAsia="Calibri"/>
          <w:b/>
          <w:color w:val="000000"/>
          <w:szCs w:val="20"/>
        </w:rPr>
        <w:t xml:space="preserve">STATISTICS </w:t>
      </w:r>
    </w:p>
    <w:p w14:paraId="2B71C97B" w14:textId="31D7CC2B" w:rsidR="00131FDC" w:rsidRPr="004256D6" w:rsidRDefault="00131FDC" w:rsidP="00131FDC">
      <w:pPr>
        <w:rPr>
          <w:rStyle w:val="Ref"/>
          <w:rFonts w:eastAsia="Calibri"/>
          <w:b/>
          <w:bCs/>
          <w:color w:val="000000"/>
          <w:szCs w:val="20"/>
        </w:rPr>
      </w:pPr>
      <w:r w:rsidRPr="004256D6">
        <w:rPr>
          <w:rStyle w:val="Ref"/>
          <w:rFonts w:eastAsia="Calibri"/>
          <w:b/>
          <w:color w:val="000000"/>
          <w:szCs w:val="20"/>
        </w:rPr>
        <w:t>A.</w:t>
      </w:r>
      <w:r w:rsidRPr="004256D6">
        <w:rPr>
          <w:rStyle w:val="Ref"/>
          <w:rFonts w:eastAsia="Calibri"/>
          <w:color w:val="000000"/>
          <w:szCs w:val="20"/>
        </w:rPr>
        <w:tab/>
        <w:t xml:space="preserve"> </w:t>
      </w:r>
      <w:r w:rsidRPr="004256D6">
        <w:rPr>
          <w:rStyle w:val="Ref"/>
          <w:rFonts w:eastAsia="Calibri"/>
          <w:color w:val="000000"/>
          <w:szCs w:val="20"/>
        </w:rPr>
        <w:fldChar w:fldCharType="begin"/>
      </w:r>
      <w:r w:rsidRPr="004256D6">
        <w:rPr>
          <w:rStyle w:val="Ref"/>
          <w:rFonts w:eastAsia="Calibri"/>
          <w:color w:val="000000"/>
          <w:szCs w:val="20"/>
        </w:rPr>
        <w:instrText>ADVANCE \D 6.45</w:instrText>
      </w:r>
      <w:r w:rsidRPr="004256D6">
        <w:rPr>
          <w:rStyle w:val="Ref"/>
          <w:rFonts w:eastAsia="Calibri"/>
          <w:color w:val="000000"/>
          <w:szCs w:val="20"/>
        </w:rPr>
        <w:fldChar w:fldCharType="end"/>
      </w:r>
      <w:r w:rsidRPr="004256D6">
        <w:rPr>
          <w:rStyle w:val="Ref"/>
          <w:rFonts w:eastAsia="Calibri"/>
          <w:color w:val="000000"/>
          <w:szCs w:val="20"/>
        </w:rPr>
        <w:br/>
        <w:t>(1)</w:t>
      </w:r>
      <w:r w:rsidRPr="004256D6">
        <w:rPr>
          <w:rStyle w:val="Ref"/>
          <w:rFonts w:eastAsia="Calibri"/>
          <w:color w:val="000000"/>
          <w:szCs w:val="20"/>
        </w:rPr>
        <w:tab/>
        <w:t>Numbers and percentages in each class/category</w:t>
      </w:r>
    </w:p>
    <w:p w14:paraId="474B3FE3" w14:textId="1A1891AE" w:rsidR="00131FDC" w:rsidRPr="004256D6" w:rsidRDefault="00131FDC" w:rsidP="00131FDC">
      <w:pPr>
        <w:rPr>
          <w:rStyle w:val="Ref"/>
          <w:rFonts w:eastAsia="Calibri"/>
          <w:color w:val="000000"/>
          <w:szCs w:val="20"/>
        </w:rPr>
      </w:pPr>
      <w:r w:rsidRPr="004256D6">
        <w:rPr>
          <w:rStyle w:val="Ref"/>
          <w:rFonts w:eastAsia="Calibri"/>
          <w:color w:val="000000"/>
          <w:szCs w:val="20"/>
        </w:rPr>
        <w:tab/>
        <w:t>(a)</w:t>
      </w:r>
      <w:r w:rsidRPr="004256D6">
        <w:rPr>
          <w:rStyle w:val="Ref"/>
          <w:rFonts w:eastAsia="Calibri"/>
          <w:color w:val="000000"/>
          <w:szCs w:val="20"/>
        </w:rPr>
        <w:tab/>
        <w:t>Classified examinations</w:t>
      </w:r>
      <w:r w:rsidR="006D21CD">
        <w:rPr>
          <w:rStyle w:val="Ref"/>
          <w:rFonts w:eastAsia="Calibri"/>
          <w:color w:val="000000"/>
          <w:szCs w:val="20"/>
        </w:rPr>
        <w:br/>
      </w:r>
      <w:r w:rsidR="006D21CD">
        <w:rPr>
          <w:rStyle w:val="Ref"/>
          <w:rFonts w:eastAsia="Calibri"/>
          <w:color w:val="000000"/>
          <w:szCs w:val="20"/>
        </w:rPr>
        <w:br/>
      </w:r>
      <w:r w:rsidR="006D21CD" w:rsidRPr="00A172CC">
        <w:t>FHS Course 1, BA Jurisprudence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236"/>
        <w:gridCol w:w="1237"/>
        <w:gridCol w:w="1324"/>
        <w:gridCol w:w="1217"/>
        <w:gridCol w:w="1219"/>
        <w:gridCol w:w="1219"/>
      </w:tblGrid>
      <w:tr w:rsidR="00131FDC" w:rsidRPr="004256D6" w14:paraId="6E666616" w14:textId="77777777" w:rsidTr="00322417">
        <w:trPr>
          <w:cantSplit/>
        </w:trPr>
        <w:tc>
          <w:tcPr>
            <w:tcW w:w="1430" w:type="dxa"/>
          </w:tcPr>
          <w:p w14:paraId="2CDEB6E4" w14:textId="77777777" w:rsidR="00131FDC" w:rsidRPr="004256D6" w:rsidRDefault="00131FDC" w:rsidP="00322417">
            <w:pPr>
              <w:rPr>
                <w:rStyle w:val="Ref"/>
                <w:rFonts w:eastAsia="Calibri"/>
                <w:color w:val="000000"/>
                <w:szCs w:val="20"/>
              </w:rPr>
            </w:pPr>
            <w:bookmarkStart w:id="0" w:name="_Hlk49947567"/>
            <w:r w:rsidRPr="004256D6">
              <w:rPr>
                <w:rStyle w:val="Ref"/>
                <w:rFonts w:eastAsia="Calibri"/>
                <w:color w:val="000000"/>
                <w:szCs w:val="20"/>
              </w:rPr>
              <w:t>Class</w:t>
            </w:r>
          </w:p>
        </w:tc>
        <w:tc>
          <w:tcPr>
            <w:tcW w:w="3797" w:type="dxa"/>
            <w:gridSpan w:val="3"/>
          </w:tcPr>
          <w:p w14:paraId="771B10FB"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Number</w:t>
            </w:r>
          </w:p>
        </w:tc>
        <w:tc>
          <w:tcPr>
            <w:tcW w:w="3655" w:type="dxa"/>
            <w:gridSpan w:val="3"/>
          </w:tcPr>
          <w:p w14:paraId="64676A50"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Percentage (%)</w:t>
            </w:r>
          </w:p>
        </w:tc>
      </w:tr>
      <w:tr w:rsidR="004256D6" w:rsidRPr="004256D6" w14:paraId="4EC2126E" w14:textId="77777777" w:rsidTr="00322417">
        <w:tc>
          <w:tcPr>
            <w:tcW w:w="1430" w:type="dxa"/>
          </w:tcPr>
          <w:p w14:paraId="696750D4" w14:textId="77777777" w:rsidR="004256D6" w:rsidRPr="004256D6" w:rsidRDefault="004256D6" w:rsidP="004256D6">
            <w:pPr>
              <w:rPr>
                <w:rStyle w:val="Ref"/>
                <w:rFonts w:eastAsia="Calibri"/>
                <w:color w:val="000000"/>
                <w:szCs w:val="20"/>
              </w:rPr>
            </w:pPr>
          </w:p>
        </w:tc>
        <w:tc>
          <w:tcPr>
            <w:tcW w:w="1236" w:type="dxa"/>
          </w:tcPr>
          <w:p w14:paraId="3B94B227" w14:textId="577714F5" w:rsidR="004256D6" w:rsidRPr="004256D6" w:rsidRDefault="004256D6" w:rsidP="004256D6">
            <w:pPr>
              <w:rPr>
                <w:rStyle w:val="Ref"/>
                <w:rFonts w:eastAsia="Calibri"/>
                <w:color w:val="000000"/>
                <w:szCs w:val="20"/>
              </w:rPr>
            </w:pPr>
            <w:r w:rsidRPr="004256D6">
              <w:rPr>
                <w:rStyle w:val="Ref"/>
                <w:rFonts w:eastAsia="Calibri"/>
                <w:color w:val="000000"/>
                <w:szCs w:val="20"/>
              </w:rPr>
              <w:t>2019/20</w:t>
            </w:r>
          </w:p>
        </w:tc>
        <w:tc>
          <w:tcPr>
            <w:tcW w:w="1237" w:type="dxa"/>
          </w:tcPr>
          <w:p w14:paraId="5283538A" w14:textId="59C9DD7C" w:rsidR="004256D6" w:rsidRPr="004256D6" w:rsidRDefault="004256D6" w:rsidP="004256D6">
            <w:pPr>
              <w:rPr>
                <w:rStyle w:val="Ref"/>
                <w:rFonts w:eastAsia="Calibri"/>
                <w:color w:val="000000"/>
                <w:szCs w:val="20"/>
              </w:rPr>
            </w:pPr>
            <w:r w:rsidRPr="004256D6">
              <w:rPr>
                <w:rStyle w:val="Ref"/>
                <w:rFonts w:eastAsia="Calibri"/>
                <w:color w:val="000000"/>
                <w:szCs w:val="20"/>
              </w:rPr>
              <w:t>2018/19</w:t>
            </w:r>
          </w:p>
        </w:tc>
        <w:tc>
          <w:tcPr>
            <w:tcW w:w="1324" w:type="dxa"/>
          </w:tcPr>
          <w:p w14:paraId="1328B904" w14:textId="584D4EEC" w:rsidR="004256D6" w:rsidRPr="004256D6" w:rsidRDefault="004256D6" w:rsidP="004256D6">
            <w:pPr>
              <w:rPr>
                <w:rStyle w:val="Ref"/>
                <w:rFonts w:eastAsia="Calibri"/>
                <w:color w:val="000000"/>
                <w:szCs w:val="20"/>
              </w:rPr>
            </w:pPr>
            <w:r w:rsidRPr="004256D6">
              <w:rPr>
                <w:rStyle w:val="Ref"/>
                <w:rFonts w:eastAsia="Calibri"/>
                <w:color w:val="000000"/>
                <w:szCs w:val="20"/>
              </w:rPr>
              <w:t>2017/18</w:t>
            </w:r>
          </w:p>
        </w:tc>
        <w:tc>
          <w:tcPr>
            <w:tcW w:w="1217" w:type="dxa"/>
          </w:tcPr>
          <w:p w14:paraId="1C4E86CD" w14:textId="5095BBA3" w:rsidR="004256D6" w:rsidRPr="004256D6" w:rsidRDefault="004256D6" w:rsidP="004256D6">
            <w:pPr>
              <w:rPr>
                <w:rStyle w:val="Ref"/>
                <w:rFonts w:eastAsia="Calibri"/>
                <w:color w:val="000000"/>
                <w:szCs w:val="20"/>
              </w:rPr>
            </w:pPr>
            <w:r w:rsidRPr="004256D6">
              <w:rPr>
                <w:rStyle w:val="Ref"/>
                <w:rFonts w:eastAsia="Calibri"/>
                <w:color w:val="000000"/>
                <w:szCs w:val="20"/>
              </w:rPr>
              <w:t>2019/20</w:t>
            </w:r>
          </w:p>
        </w:tc>
        <w:tc>
          <w:tcPr>
            <w:tcW w:w="1219" w:type="dxa"/>
          </w:tcPr>
          <w:p w14:paraId="0B9630BB" w14:textId="54699847" w:rsidR="004256D6" w:rsidRPr="004256D6" w:rsidRDefault="004256D6" w:rsidP="004256D6">
            <w:pPr>
              <w:rPr>
                <w:rStyle w:val="Ref"/>
                <w:rFonts w:eastAsia="Calibri"/>
                <w:color w:val="000000"/>
                <w:szCs w:val="20"/>
              </w:rPr>
            </w:pPr>
            <w:r w:rsidRPr="004256D6">
              <w:rPr>
                <w:rStyle w:val="Ref"/>
                <w:rFonts w:eastAsia="Calibri"/>
                <w:color w:val="000000"/>
                <w:szCs w:val="20"/>
              </w:rPr>
              <w:t>2018/19</w:t>
            </w:r>
          </w:p>
        </w:tc>
        <w:tc>
          <w:tcPr>
            <w:tcW w:w="1219" w:type="dxa"/>
          </w:tcPr>
          <w:p w14:paraId="1BD829A3" w14:textId="12A9A18B" w:rsidR="004256D6" w:rsidRPr="004256D6" w:rsidRDefault="004256D6" w:rsidP="004256D6">
            <w:pPr>
              <w:rPr>
                <w:rStyle w:val="Ref"/>
                <w:rFonts w:eastAsia="Calibri"/>
                <w:color w:val="000000"/>
                <w:szCs w:val="20"/>
              </w:rPr>
            </w:pPr>
            <w:r w:rsidRPr="004256D6">
              <w:rPr>
                <w:rStyle w:val="Ref"/>
                <w:rFonts w:eastAsia="Calibri"/>
                <w:color w:val="000000"/>
                <w:szCs w:val="20"/>
              </w:rPr>
              <w:t>2017/18</w:t>
            </w:r>
          </w:p>
        </w:tc>
      </w:tr>
      <w:tr w:rsidR="00131FDC" w:rsidRPr="004256D6" w14:paraId="42174A5F" w14:textId="77777777" w:rsidTr="00322417">
        <w:tc>
          <w:tcPr>
            <w:tcW w:w="1430" w:type="dxa"/>
          </w:tcPr>
          <w:p w14:paraId="0649D2FE"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I</w:t>
            </w:r>
          </w:p>
        </w:tc>
        <w:tc>
          <w:tcPr>
            <w:tcW w:w="1236" w:type="dxa"/>
          </w:tcPr>
          <w:p w14:paraId="59300342" w14:textId="7089390A" w:rsidR="00131FDC" w:rsidRPr="004256D6" w:rsidRDefault="00FE130B" w:rsidP="00322417">
            <w:pPr>
              <w:rPr>
                <w:rStyle w:val="Ref"/>
                <w:rFonts w:eastAsia="Calibri"/>
                <w:color w:val="000000"/>
                <w:szCs w:val="20"/>
              </w:rPr>
            </w:pPr>
            <w:r>
              <w:rPr>
                <w:rStyle w:val="Ref"/>
                <w:rFonts w:eastAsia="Calibri"/>
                <w:color w:val="000000"/>
                <w:szCs w:val="20"/>
              </w:rPr>
              <w:t>54</w:t>
            </w:r>
          </w:p>
        </w:tc>
        <w:tc>
          <w:tcPr>
            <w:tcW w:w="1237" w:type="dxa"/>
          </w:tcPr>
          <w:p w14:paraId="21F9E288" w14:textId="4B6E3888" w:rsidR="00131FDC" w:rsidRPr="004256D6" w:rsidRDefault="006D21CD" w:rsidP="00322417">
            <w:pPr>
              <w:rPr>
                <w:rStyle w:val="Ref"/>
                <w:rFonts w:eastAsia="Calibri"/>
                <w:color w:val="000000"/>
                <w:szCs w:val="20"/>
              </w:rPr>
            </w:pPr>
            <w:r>
              <w:rPr>
                <w:rStyle w:val="Ref"/>
                <w:rFonts w:eastAsia="Calibri"/>
                <w:color w:val="000000"/>
                <w:szCs w:val="20"/>
              </w:rPr>
              <w:t>41</w:t>
            </w:r>
          </w:p>
        </w:tc>
        <w:tc>
          <w:tcPr>
            <w:tcW w:w="1324" w:type="dxa"/>
          </w:tcPr>
          <w:p w14:paraId="0A742FEF" w14:textId="6CF08211" w:rsidR="00131FDC" w:rsidRPr="004256D6" w:rsidRDefault="006D21CD" w:rsidP="00322417">
            <w:pPr>
              <w:rPr>
                <w:rStyle w:val="Ref"/>
                <w:rFonts w:eastAsia="Calibri"/>
                <w:color w:val="000000"/>
                <w:szCs w:val="20"/>
              </w:rPr>
            </w:pPr>
            <w:r>
              <w:rPr>
                <w:rStyle w:val="Ref"/>
                <w:rFonts w:eastAsia="Calibri"/>
                <w:color w:val="000000"/>
                <w:szCs w:val="20"/>
              </w:rPr>
              <w:t>38</w:t>
            </w:r>
          </w:p>
        </w:tc>
        <w:tc>
          <w:tcPr>
            <w:tcW w:w="1217" w:type="dxa"/>
          </w:tcPr>
          <w:p w14:paraId="265FA3F7" w14:textId="6ED44490" w:rsidR="00131FDC" w:rsidRPr="004256D6" w:rsidRDefault="00A9057F" w:rsidP="00322417">
            <w:pPr>
              <w:rPr>
                <w:rStyle w:val="Ref"/>
                <w:rFonts w:eastAsia="Calibri"/>
                <w:color w:val="000000"/>
                <w:szCs w:val="20"/>
              </w:rPr>
            </w:pPr>
            <w:r>
              <w:rPr>
                <w:rStyle w:val="Ref"/>
                <w:rFonts w:eastAsia="Calibri"/>
                <w:color w:val="000000"/>
                <w:szCs w:val="20"/>
              </w:rPr>
              <w:t>3</w:t>
            </w:r>
            <w:r w:rsidR="008E4302">
              <w:rPr>
                <w:rStyle w:val="Ref"/>
                <w:rFonts w:eastAsia="Calibri"/>
                <w:color w:val="000000"/>
                <w:szCs w:val="20"/>
              </w:rPr>
              <w:t>0.86</w:t>
            </w:r>
          </w:p>
        </w:tc>
        <w:tc>
          <w:tcPr>
            <w:tcW w:w="1219" w:type="dxa"/>
          </w:tcPr>
          <w:p w14:paraId="3E2200CA" w14:textId="1A726F25" w:rsidR="00131FDC" w:rsidRPr="004256D6" w:rsidRDefault="006D21CD" w:rsidP="00322417">
            <w:pPr>
              <w:rPr>
                <w:rStyle w:val="Ref"/>
                <w:rFonts w:eastAsia="Calibri"/>
                <w:color w:val="000000"/>
                <w:szCs w:val="20"/>
              </w:rPr>
            </w:pPr>
            <w:r>
              <w:rPr>
                <w:rStyle w:val="Ref"/>
                <w:rFonts w:eastAsia="Calibri"/>
                <w:color w:val="000000"/>
                <w:szCs w:val="20"/>
              </w:rPr>
              <w:t>20.19</w:t>
            </w:r>
          </w:p>
        </w:tc>
        <w:tc>
          <w:tcPr>
            <w:tcW w:w="1219" w:type="dxa"/>
          </w:tcPr>
          <w:p w14:paraId="398518DB" w14:textId="658FD750" w:rsidR="00131FDC" w:rsidRPr="004256D6" w:rsidRDefault="006D21CD" w:rsidP="00322417">
            <w:pPr>
              <w:rPr>
                <w:rStyle w:val="Ref"/>
                <w:rFonts w:eastAsia="Calibri"/>
                <w:color w:val="000000"/>
                <w:szCs w:val="20"/>
              </w:rPr>
            </w:pPr>
            <w:r>
              <w:rPr>
                <w:rStyle w:val="Ref"/>
                <w:rFonts w:eastAsia="Calibri"/>
                <w:color w:val="000000"/>
                <w:szCs w:val="20"/>
              </w:rPr>
              <w:t>21.11</w:t>
            </w:r>
          </w:p>
        </w:tc>
      </w:tr>
      <w:tr w:rsidR="00131FDC" w:rsidRPr="004256D6" w14:paraId="59E0873F" w14:textId="77777777" w:rsidTr="00322417">
        <w:tc>
          <w:tcPr>
            <w:tcW w:w="1430" w:type="dxa"/>
          </w:tcPr>
          <w:p w14:paraId="128CFCED"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II.I</w:t>
            </w:r>
          </w:p>
        </w:tc>
        <w:tc>
          <w:tcPr>
            <w:tcW w:w="1236" w:type="dxa"/>
          </w:tcPr>
          <w:p w14:paraId="45CFBE7A" w14:textId="3A359569" w:rsidR="00131FDC" w:rsidRPr="004256D6" w:rsidRDefault="00FE130B" w:rsidP="00322417">
            <w:pPr>
              <w:rPr>
                <w:rStyle w:val="Ref"/>
                <w:rFonts w:eastAsia="Calibri"/>
                <w:color w:val="000000"/>
                <w:szCs w:val="20"/>
              </w:rPr>
            </w:pPr>
            <w:r>
              <w:rPr>
                <w:rStyle w:val="Ref"/>
                <w:rFonts w:eastAsia="Calibri"/>
                <w:color w:val="000000"/>
                <w:szCs w:val="20"/>
              </w:rPr>
              <w:t>120</w:t>
            </w:r>
          </w:p>
        </w:tc>
        <w:tc>
          <w:tcPr>
            <w:tcW w:w="1237" w:type="dxa"/>
          </w:tcPr>
          <w:p w14:paraId="4DCB38DE" w14:textId="5DC2CCF5" w:rsidR="00131FDC" w:rsidRPr="004256D6" w:rsidRDefault="006D21CD" w:rsidP="00322417">
            <w:pPr>
              <w:rPr>
                <w:rStyle w:val="Ref"/>
                <w:rFonts w:eastAsia="Calibri"/>
                <w:color w:val="000000"/>
                <w:szCs w:val="20"/>
              </w:rPr>
            </w:pPr>
            <w:r>
              <w:rPr>
                <w:rStyle w:val="Ref"/>
                <w:rFonts w:eastAsia="Calibri"/>
                <w:color w:val="000000"/>
                <w:szCs w:val="20"/>
              </w:rPr>
              <w:t>155</w:t>
            </w:r>
          </w:p>
        </w:tc>
        <w:tc>
          <w:tcPr>
            <w:tcW w:w="1324" w:type="dxa"/>
          </w:tcPr>
          <w:p w14:paraId="085181BB" w14:textId="35F49A53" w:rsidR="00131FDC" w:rsidRPr="004256D6" w:rsidRDefault="006D21CD" w:rsidP="00322417">
            <w:pPr>
              <w:rPr>
                <w:rStyle w:val="Ref"/>
                <w:rFonts w:eastAsia="Calibri"/>
                <w:color w:val="000000"/>
                <w:szCs w:val="20"/>
              </w:rPr>
            </w:pPr>
            <w:r>
              <w:rPr>
                <w:rStyle w:val="Ref"/>
                <w:rFonts w:eastAsia="Calibri"/>
                <w:color w:val="000000"/>
                <w:szCs w:val="20"/>
              </w:rPr>
              <w:t>139</w:t>
            </w:r>
          </w:p>
        </w:tc>
        <w:tc>
          <w:tcPr>
            <w:tcW w:w="1217" w:type="dxa"/>
          </w:tcPr>
          <w:p w14:paraId="39EA97AF" w14:textId="3B01BC55" w:rsidR="00131FDC" w:rsidRPr="004256D6" w:rsidRDefault="00A9057F" w:rsidP="00322417">
            <w:pPr>
              <w:rPr>
                <w:rStyle w:val="Ref"/>
                <w:rFonts w:eastAsia="Calibri"/>
                <w:color w:val="000000"/>
                <w:szCs w:val="20"/>
              </w:rPr>
            </w:pPr>
            <w:r>
              <w:rPr>
                <w:rStyle w:val="Ref"/>
                <w:rFonts w:eastAsia="Calibri"/>
                <w:color w:val="000000"/>
                <w:szCs w:val="20"/>
              </w:rPr>
              <w:t>68.</w:t>
            </w:r>
            <w:r w:rsidR="008E4302">
              <w:rPr>
                <w:rStyle w:val="Ref"/>
                <w:rFonts w:eastAsia="Calibri"/>
                <w:color w:val="000000"/>
                <w:szCs w:val="20"/>
              </w:rPr>
              <w:t>57</w:t>
            </w:r>
          </w:p>
        </w:tc>
        <w:tc>
          <w:tcPr>
            <w:tcW w:w="1219" w:type="dxa"/>
          </w:tcPr>
          <w:p w14:paraId="77C9E99D" w14:textId="19C74E50" w:rsidR="00131FDC" w:rsidRPr="004256D6" w:rsidRDefault="006D21CD" w:rsidP="00322417">
            <w:pPr>
              <w:rPr>
                <w:rStyle w:val="Ref"/>
                <w:rFonts w:eastAsia="Calibri"/>
                <w:color w:val="000000"/>
                <w:szCs w:val="20"/>
              </w:rPr>
            </w:pPr>
            <w:r>
              <w:rPr>
                <w:rStyle w:val="Ref"/>
                <w:rFonts w:eastAsia="Calibri"/>
                <w:color w:val="000000"/>
                <w:szCs w:val="20"/>
              </w:rPr>
              <w:t>76.35</w:t>
            </w:r>
          </w:p>
        </w:tc>
        <w:tc>
          <w:tcPr>
            <w:tcW w:w="1219" w:type="dxa"/>
          </w:tcPr>
          <w:p w14:paraId="18143276" w14:textId="7BA8A2C6" w:rsidR="00131FDC" w:rsidRPr="004256D6" w:rsidRDefault="006D21CD" w:rsidP="00322417">
            <w:pPr>
              <w:rPr>
                <w:rStyle w:val="Ref"/>
                <w:rFonts w:eastAsia="Calibri"/>
                <w:color w:val="000000"/>
                <w:szCs w:val="20"/>
              </w:rPr>
            </w:pPr>
            <w:r>
              <w:rPr>
                <w:rStyle w:val="Ref"/>
                <w:rFonts w:eastAsia="Calibri"/>
                <w:color w:val="000000"/>
                <w:szCs w:val="20"/>
              </w:rPr>
              <w:t>77.22</w:t>
            </w:r>
          </w:p>
        </w:tc>
      </w:tr>
      <w:tr w:rsidR="00131FDC" w:rsidRPr="004256D6" w14:paraId="67EA4D75" w14:textId="77777777" w:rsidTr="00322417">
        <w:tc>
          <w:tcPr>
            <w:tcW w:w="1430" w:type="dxa"/>
          </w:tcPr>
          <w:p w14:paraId="15B16670"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II.II</w:t>
            </w:r>
          </w:p>
        </w:tc>
        <w:tc>
          <w:tcPr>
            <w:tcW w:w="1236" w:type="dxa"/>
          </w:tcPr>
          <w:p w14:paraId="51B39567" w14:textId="55D1333D" w:rsidR="00131FDC" w:rsidRPr="004256D6" w:rsidRDefault="008E4302" w:rsidP="00322417">
            <w:pPr>
              <w:rPr>
                <w:rStyle w:val="Ref"/>
                <w:rFonts w:eastAsia="Calibri"/>
                <w:color w:val="000000"/>
                <w:szCs w:val="20"/>
              </w:rPr>
            </w:pPr>
            <w:r>
              <w:rPr>
                <w:rStyle w:val="Ref"/>
                <w:rFonts w:eastAsia="Calibri"/>
                <w:color w:val="000000"/>
                <w:szCs w:val="20"/>
              </w:rPr>
              <w:t>1</w:t>
            </w:r>
          </w:p>
        </w:tc>
        <w:tc>
          <w:tcPr>
            <w:tcW w:w="1237" w:type="dxa"/>
          </w:tcPr>
          <w:p w14:paraId="71776B87" w14:textId="153DB503" w:rsidR="00131FDC" w:rsidRPr="004256D6" w:rsidRDefault="006D21CD" w:rsidP="00322417">
            <w:pPr>
              <w:rPr>
                <w:rStyle w:val="Ref"/>
                <w:rFonts w:eastAsia="Calibri"/>
                <w:color w:val="000000"/>
                <w:szCs w:val="20"/>
              </w:rPr>
            </w:pPr>
            <w:r>
              <w:rPr>
                <w:rStyle w:val="Ref"/>
                <w:rFonts w:eastAsia="Calibri"/>
                <w:color w:val="000000"/>
                <w:szCs w:val="20"/>
              </w:rPr>
              <w:t>5</w:t>
            </w:r>
          </w:p>
        </w:tc>
        <w:tc>
          <w:tcPr>
            <w:tcW w:w="1324" w:type="dxa"/>
          </w:tcPr>
          <w:p w14:paraId="0D651574" w14:textId="03D12644" w:rsidR="00131FDC" w:rsidRPr="004256D6" w:rsidRDefault="006D21CD" w:rsidP="00322417">
            <w:pPr>
              <w:rPr>
                <w:rStyle w:val="Ref"/>
                <w:rFonts w:eastAsia="Calibri"/>
                <w:color w:val="000000"/>
                <w:szCs w:val="20"/>
              </w:rPr>
            </w:pPr>
            <w:r>
              <w:rPr>
                <w:rStyle w:val="Ref"/>
                <w:rFonts w:eastAsia="Calibri"/>
                <w:color w:val="000000"/>
                <w:szCs w:val="20"/>
              </w:rPr>
              <w:t>1</w:t>
            </w:r>
          </w:p>
        </w:tc>
        <w:tc>
          <w:tcPr>
            <w:tcW w:w="1217" w:type="dxa"/>
          </w:tcPr>
          <w:p w14:paraId="79F4BCE8" w14:textId="46FE4771" w:rsidR="00131FDC" w:rsidRPr="004256D6" w:rsidRDefault="008E4302" w:rsidP="00322417">
            <w:pPr>
              <w:rPr>
                <w:rStyle w:val="Ref"/>
                <w:rFonts w:eastAsia="Calibri"/>
                <w:color w:val="000000"/>
                <w:szCs w:val="20"/>
              </w:rPr>
            </w:pPr>
            <w:r>
              <w:rPr>
                <w:rStyle w:val="Ref"/>
                <w:rFonts w:eastAsia="Calibri"/>
                <w:color w:val="000000"/>
                <w:szCs w:val="20"/>
              </w:rPr>
              <w:t>0.57</w:t>
            </w:r>
          </w:p>
        </w:tc>
        <w:tc>
          <w:tcPr>
            <w:tcW w:w="1219" w:type="dxa"/>
          </w:tcPr>
          <w:p w14:paraId="3D001235" w14:textId="5C152026" w:rsidR="00131FDC" w:rsidRPr="004256D6" w:rsidRDefault="006D21CD" w:rsidP="00322417">
            <w:pPr>
              <w:rPr>
                <w:rStyle w:val="Ref"/>
                <w:rFonts w:eastAsia="Calibri"/>
                <w:color w:val="000000"/>
                <w:szCs w:val="20"/>
              </w:rPr>
            </w:pPr>
            <w:r>
              <w:rPr>
                <w:rStyle w:val="Ref"/>
                <w:rFonts w:eastAsia="Calibri"/>
                <w:color w:val="000000"/>
                <w:szCs w:val="20"/>
              </w:rPr>
              <w:t>2.46</w:t>
            </w:r>
          </w:p>
        </w:tc>
        <w:tc>
          <w:tcPr>
            <w:tcW w:w="1219" w:type="dxa"/>
          </w:tcPr>
          <w:p w14:paraId="46C753E5" w14:textId="6C05C0B0" w:rsidR="00131FDC" w:rsidRPr="004256D6" w:rsidRDefault="006D21CD" w:rsidP="00322417">
            <w:pPr>
              <w:rPr>
                <w:rStyle w:val="Ref"/>
                <w:rFonts w:eastAsia="Calibri"/>
                <w:color w:val="000000"/>
                <w:szCs w:val="20"/>
              </w:rPr>
            </w:pPr>
            <w:r>
              <w:rPr>
                <w:rStyle w:val="Ref"/>
                <w:rFonts w:eastAsia="Calibri"/>
                <w:color w:val="000000"/>
                <w:szCs w:val="20"/>
              </w:rPr>
              <w:t>0.56</w:t>
            </w:r>
          </w:p>
        </w:tc>
      </w:tr>
      <w:tr w:rsidR="00131FDC" w:rsidRPr="004256D6" w14:paraId="668670F3" w14:textId="77777777" w:rsidTr="00322417">
        <w:tc>
          <w:tcPr>
            <w:tcW w:w="1430" w:type="dxa"/>
          </w:tcPr>
          <w:p w14:paraId="22AA7678"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III</w:t>
            </w:r>
          </w:p>
        </w:tc>
        <w:tc>
          <w:tcPr>
            <w:tcW w:w="1236" w:type="dxa"/>
          </w:tcPr>
          <w:p w14:paraId="008FA1D4" w14:textId="77777777" w:rsidR="00131FDC" w:rsidRPr="004256D6" w:rsidRDefault="00131FDC" w:rsidP="00322417">
            <w:pPr>
              <w:rPr>
                <w:rStyle w:val="Ref"/>
                <w:rFonts w:eastAsia="Calibri"/>
                <w:color w:val="000000"/>
                <w:szCs w:val="20"/>
              </w:rPr>
            </w:pPr>
          </w:p>
        </w:tc>
        <w:tc>
          <w:tcPr>
            <w:tcW w:w="1237" w:type="dxa"/>
          </w:tcPr>
          <w:p w14:paraId="213FF964" w14:textId="1D4217C9" w:rsidR="00131FDC" w:rsidRPr="004256D6" w:rsidRDefault="00131FDC" w:rsidP="00322417">
            <w:pPr>
              <w:rPr>
                <w:rStyle w:val="Ref"/>
                <w:rFonts w:eastAsia="Calibri"/>
                <w:color w:val="000000"/>
                <w:szCs w:val="20"/>
              </w:rPr>
            </w:pPr>
          </w:p>
        </w:tc>
        <w:tc>
          <w:tcPr>
            <w:tcW w:w="1324" w:type="dxa"/>
          </w:tcPr>
          <w:p w14:paraId="2E4F2DB9" w14:textId="2E1CADBE" w:rsidR="00131FDC" w:rsidRPr="004256D6" w:rsidRDefault="00131FDC" w:rsidP="00322417">
            <w:pPr>
              <w:rPr>
                <w:rStyle w:val="Ref"/>
                <w:rFonts w:eastAsia="Calibri"/>
                <w:color w:val="000000"/>
                <w:szCs w:val="20"/>
              </w:rPr>
            </w:pPr>
          </w:p>
        </w:tc>
        <w:tc>
          <w:tcPr>
            <w:tcW w:w="1217" w:type="dxa"/>
          </w:tcPr>
          <w:p w14:paraId="2E99E09F" w14:textId="77777777" w:rsidR="00131FDC" w:rsidRPr="004256D6" w:rsidRDefault="00131FDC" w:rsidP="00322417">
            <w:pPr>
              <w:rPr>
                <w:rStyle w:val="Ref"/>
                <w:rFonts w:eastAsia="Calibri"/>
                <w:color w:val="000000"/>
                <w:szCs w:val="20"/>
              </w:rPr>
            </w:pPr>
          </w:p>
        </w:tc>
        <w:tc>
          <w:tcPr>
            <w:tcW w:w="1219" w:type="dxa"/>
          </w:tcPr>
          <w:p w14:paraId="604AFDC0" w14:textId="25116C5C" w:rsidR="00131FDC" w:rsidRPr="004256D6" w:rsidRDefault="00131FDC" w:rsidP="00322417">
            <w:pPr>
              <w:rPr>
                <w:rStyle w:val="Ref"/>
                <w:rFonts w:eastAsia="Calibri"/>
                <w:color w:val="000000"/>
                <w:szCs w:val="20"/>
              </w:rPr>
            </w:pPr>
          </w:p>
        </w:tc>
        <w:tc>
          <w:tcPr>
            <w:tcW w:w="1219" w:type="dxa"/>
          </w:tcPr>
          <w:p w14:paraId="37F5A9F8" w14:textId="448B0A28" w:rsidR="00131FDC" w:rsidRPr="004256D6" w:rsidRDefault="00131FDC" w:rsidP="00322417">
            <w:pPr>
              <w:rPr>
                <w:rStyle w:val="Ref"/>
                <w:rFonts w:eastAsia="Calibri"/>
                <w:color w:val="000000"/>
                <w:szCs w:val="20"/>
              </w:rPr>
            </w:pPr>
          </w:p>
        </w:tc>
      </w:tr>
      <w:tr w:rsidR="00131FDC" w:rsidRPr="004256D6" w14:paraId="6C077719" w14:textId="77777777" w:rsidTr="00322417">
        <w:tc>
          <w:tcPr>
            <w:tcW w:w="1430" w:type="dxa"/>
          </w:tcPr>
          <w:p w14:paraId="4EA7FCA8"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Pass</w:t>
            </w:r>
          </w:p>
        </w:tc>
        <w:tc>
          <w:tcPr>
            <w:tcW w:w="1236" w:type="dxa"/>
          </w:tcPr>
          <w:p w14:paraId="1D94A5D4" w14:textId="77777777" w:rsidR="00131FDC" w:rsidRPr="004256D6" w:rsidRDefault="00131FDC" w:rsidP="00322417">
            <w:pPr>
              <w:rPr>
                <w:rStyle w:val="Ref"/>
                <w:rFonts w:eastAsia="Calibri"/>
                <w:color w:val="000000"/>
                <w:szCs w:val="20"/>
              </w:rPr>
            </w:pPr>
          </w:p>
        </w:tc>
        <w:tc>
          <w:tcPr>
            <w:tcW w:w="1237" w:type="dxa"/>
          </w:tcPr>
          <w:p w14:paraId="6AAA85F6" w14:textId="42574BB2" w:rsidR="00131FDC" w:rsidRPr="004256D6" w:rsidRDefault="00131FDC" w:rsidP="00322417">
            <w:pPr>
              <w:rPr>
                <w:rStyle w:val="Ref"/>
                <w:rFonts w:eastAsia="Calibri"/>
                <w:color w:val="000000"/>
                <w:szCs w:val="20"/>
              </w:rPr>
            </w:pPr>
          </w:p>
        </w:tc>
        <w:tc>
          <w:tcPr>
            <w:tcW w:w="1324" w:type="dxa"/>
          </w:tcPr>
          <w:p w14:paraId="2AE2274E" w14:textId="09B5B674" w:rsidR="00131FDC" w:rsidRPr="004256D6" w:rsidRDefault="006D21CD" w:rsidP="00322417">
            <w:pPr>
              <w:rPr>
                <w:rStyle w:val="Ref"/>
                <w:rFonts w:eastAsia="Calibri"/>
                <w:color w:val="000000"/>
                <w:szCs w:val="20"/>
              </w:rPr>
            </w:pPr>
            <w:r>
              <w:rPr>
                <w:rStyle w:val="Ref"/>
                <w:rFonts w:eastAsia="Calibri"/>
                <w:color w:val="000000"/>
                <w:szCs w:val="20"/>
              </w:rPr>
              <w:t>2</w:t>
            </w:r>
          </w:p>
        </w:tc>
        <w:tc>
          <w:tcPr>
            <w:tcW w:w="1217" w:type="dxa"/>
          </w:tcPr>
          <w:p w14:paraId="410A9541" w14:textId="77777777" w:rsidR="00131FDC" w:rsidRPr="004256D6" w:rsidRDefault="00131FDC" w:rsidP="00322417">
            <w:pPr>
              <w:rPr>
                <w:rStyle w:val="Ref"/>
                <w:rFonts w:eastAsia="Calibri"/>
                <w:color w:val="000000"/>
                <w:szCs w:val="20"/>
              </w:rPr>
            </w:pPr>
          </w:p>
        </w:tc>
        <w:tc>
          <w:tcPr>
            <w:tcW w:w="1219" w:type="dxa"/>
          </w:tcPr>
          <w:p w14:paraId="4E0CC81D" w14:textId="72576AE8" w:rsidR="00131FDC" w:rsidRPr="004256D6" w:rsidRDefault="00131FDC" w:rsidP="00322417">
            <w:pPr>
              <w:rPr>
                <w:rStyle w:val="Ref"/>
                <w:rFonts w:eastAsia="Calibri"/>
                <w:color w:val="000000"/>
                <w:szCs w:val="20"/>
              </w:rPr>
            </w:pPr>
          </w:p>
        </w:tc>
        <w:tc>
          <w:tcPr>
            <w:tcW w:w="1219" w:type="dxa"/>
          </w:tcPr>
          <w:p w14:paraId="5B65D0C8" w14:textId="778093BA" w:rsidR="00131FDC" w:rsidRPr="004256D6" w:rsidRDefault="006D21CD" w:rsidP="00322417">
            <w:pPr>
              <w:rPr>
                <w:rStyle w:val="Ref"/>
                <w:rFonts w:eastAsia="Calibri"/>
                <w:color w:val="000000"/>
                <w:szCs w:val="20"/>
              </w:rPr>
            </w:pPr>
            <w:r>
              <w:rPr>
                <w:rStyle w:val="Ref"/>
                <w:rFonts w:eastAsia="Calibri"/>
                <w:color w:val="000000"/>
                <w:szCs w:val="20"/>
              </w:rPr>
              <w:t>1.11</w:t>
            </w:r>
          </w:p>
        </w:tc>
      </w:tr>
      <w:tr w:rsidR="00131FDC" w:rsidRPr="004256D6" w14:paraId="2837BBC3" w14:textId="77777777" w:rsidTr="00322417">
        <w:tc>
          <w:tcPr>
            <w:tcW w:w="1430" w:type="dxa"/>
          </w:tcPr>
          <w:p w14:paraId="7570F03E"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Fail</w:t>
            </w:r>
          </w:p>
        </w:tc>
        <w:tc>
          <w:tcPr>
            <w:tcW w:w="1236" w:type="dxa"/>
          </w:tcPr>
          <w:p w14:paraId="08BD659A" w14:textId="77777777" w:rsidR="00131FDC" w:rsidRPr="004256D6" w:rsidRDefault="00131FDC" w:rsidP="00322417">
            <w:pPr>
              <w:rPr>
                <w:rStyle w:val="Ref"/>
                <w:rFonts w:eastAsia="Calibri"/>
                <w:color w:val="000000"/>
                <w:szCs w:val="20"/>
              </w:rPr>
            </w:pPr>
          </w:p>
        </w:tc>
        <w:tc>
          <w:tcPr>
            <w:tcW w:w="1237" w:type="dxa"/>
          </w:tcPr>
          <w:p w14:paraId="64EF67C9" w14:textId="7B55FE0A" w:rsidR="00131FDC" w:rsidRPr="004256D6" w:rsidRDefault="006D21CD" w:rsidP="00322417">
            <w:pPr>
              <w:rPr>
                <w:rStyle w:val="Ref"/>
                <w:rFonts w:eastAsia="Calibri"/>
                <w:color w:val="000000"/>
                <w:szCs w:val="20"/>
              </w:rPr>
            </w:pPr>
            <w:r>
              <w:rPr>
                <w:rStyle w:val="Ref"/>
                <w:rFonts w:eastAsia="Calibri"/>
                <w:color w:val="000000"/>
                <w:szCs w:val="20"/>
              </w:rPr>
              <w:t>2</w:t>
            </w:r>
          </w:p>
        </w:tc>
        <w:tc>
          <w:tcPr>
            <w:tcW w:w="1324" w:type="dxa"/>
          </w:tcPr>
          <w:p w14:paraId="4F6D759E" w14:textId="29FFC894" w:rsidR="00131FDC" w:rsidRPr="004256D6" w:rsidRDefault="00131FDC" w:rsidP="00322417">
            <w:pPr>
              <w:rPr>
                <w:rStyle w:val="Ref"/>
                <w:rFonts w:eastAsia="Calibri"/>
                <w:color w:val="000000"/>
                <w:szCs w:val="20"/>
              </w:rPr>
            </w:pPr>
          </w:p>
        </w:tc>
        <w:tc>
          <w:tcPr>
            <w:tcW w:w="1217" w:type="dxa"/>
          </w:tcPr>
          <w:p w14:paraId="354601F2" w14:textId="77777777" w:rsidR="00131FDC" w:rsidRPr="004256D6" w:rsidRDefault="00131FDC" w:rsidP="00322417">
            <w:pPr>
              <w:rPr>
                <w:rStyle w:val="Ref"/>
                <w:rFonts w:eastAsia="Calibri"/>
                <w:color w:val="000000"/>
                <w:szCs w:val="20"/>
              </w:rPr>
            </w:pPr>
          </w:p>
        </w:tc>
        <w:tc>
          <w:tcPr>
            <w:tcW w:w="1219" w:type="dxa"/>
          </w:tcPr>
          <w:p w14:paraId="59C568B2" w14:textId="240F728B" w:rsidR="00131FDC" w:rsidRPr="004256D6" w:rsidRDefault="006D21CD" w:rsidP="00322417">
            <w:pPr>
              <w:rPr>
                <w:rStyle w:val="Ref"/>
                <w:rFonts w:eastAsia="Calibri"/>
                <w:color w:val="000000"/>
                <w:szCs w:val="20"/>
              </w:rPr>
            </w:pPr>
            <w:r>
              <w:rPr>
                <w:rStyle w:val="Ref"/>
                <w:rFonts w:eastAsia="Calibri"/>
                <w:color w:val="000000"/>
                <w:szCs w:val="20"/>
              </w:rPr>
              <w:t>0.98</w:t>
            </w:r>
          </w:p>
        </w:tc>
        <w:tc>
          <w:tcPr>
            <w:tcW w:w="1219" w:type="dxa"/>
          </w:tcPr>
          <w:p w14:paraId="054E4EF5" w14:textId="1EAD418A" w:rsidR="00131FDC" w:rsidRPr="004256D6" w:rsidRDefault="00131FDC" w:rsidP="00322417">
            <w:pPr>
              <w:rPr>
                <w:rStyle w:val="Ref"/>
                <w:rFonts w:eastAsia="Calibri"/>
                <w:color w:val="000000"/>
                <w:szCs w:val="20"/>
              </w:rPr>
            </w:pPr>
          </w:p>
        </w:tc>
      </w:tr>
    </w:tbl>
    <w:bookmarkEnd w:id="0"/>
    <w:p w14:paraId="7D2AE880" w14:textId="3487F9CB" w:rsidR="00131FDC" w:rsidRDefault="00131FDC" w:rsidP="00131FDC">
      <w:pPr>
        <w:rPr>
          <w:rStyle w:val="Ref"/>
          <w:rFonts w:eastAsia="Calibri"/>
          <w:color w:val="000000"/>
          <w:szCs w:val="20"/>
        </w:rPr>
      </w:pPr>
      <w:r w:rsidRPr="004256D6">
        <w:rPr>
          <w:rStyle w:val="Ref"/>
          <w:rFonts w:eastAsia="Calibri"/>
          <w:color w:val="000000"/>
          <w:szCs w:val="20"/>
        </w:rPr>
        <w:fldChar w:fldCharType="begin"/>
      </w:r>
      <w:r w:rsidRPr="004256D6">
        <w:rPr>
          <w:rStyle w:val="Ref"/>
          <w:rFonts w:eastAsia="Calibri"/>
          <w:color w:val="000000"/>
          <w:szCs w:val="20"/>
        </w:rPr>
        <w:instrText>ADVANCE \D 6.45</w:instrText>
      </w:r>
      <w:r w:rsidRPr="004256D6">
        <w:rPr>
          <w:rStyle w:val="Ref"/>
          <w:rFonts w:eastAsia="Calibri"/>
          <w:color w:val="000000"/>
          <w:szCs w:val="20"/>
        </w:rPr>
        <w:fldChar w:fldCharType="end"/>
      </w:r>
    </w:p>
    <w:p w14:paraId="5F86AD65" w14:textId="6BC8EF41" w:rsidR="006D21CD" w:rsidRDefault="006D21CD" w:rsidP="00131FDC">
      <w:pPr>
        <w:rPr>
          <w:rStyle w:val="Ref"/>
          <w:rFonts w:eastAsia="Calibri"/>
          <w:color w:val="000000"/>
          <w:szCs w:val="20"/>
        </w:rPr>
      </w:pPr>
      <w:r>
        <w:rPr>
          <w:rStyle w:val="Ref"/>
          <w:rFonts w:eastAsia="Calibri"/>
          <w:color w:val="000000"/>
          <w:szCs w:val="20"/>
        </w:rPr>
        <w:t>FHS Course 2, BA Law with Law Studies in Europe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236"/>
        <w:gridCol w:w="1237"/>
        <w:gridCol w:w="1324"/>
        <w:gridCol w:w="1217"/>
        <w:gridCol w:w="1219"/>
        <w:gridCol w:w="1219"/>
      </w:tblGrid>
      <w:tr w:rsidR="006D21CD" w:rsidRPr="004256D6" w14:paraId="7E16D83C" w14:textId="77777777" w:rsidTr="00322417">
        <w:trPr>
          <w:cantSplit/>
        </w:trPr>
        <w:tc>
          <w:tcPr>
            <w:tcW w:w="1430" w:type="dxa"/>
          </w:tcPr>
          <w:p w14:paraId="2D92F867"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Class</w:t>
            </w:r>
          </w:p>
        </w:tc>
        <w:tc>
          <w:tcPr>
            <w:tcW w:w="3797" w:type="dxa"/>
            <w:gridSpan w:val="3"/>
          </w:tcPr>
          <w:p w14:paraId="7A504169"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Number</w:t>
            </w:r>
          </w:p>
        </w:tc>
        <w:tc>
          <w:tcPr>
            <w:tcW w:w="3655" w:type="dxa"/>
            <w:gridSpan w:val="3"/>
          </w:tcPr>
          <w:p w14:paraId="73EA499C"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Percentage (%)</w:t>
            </w:r>
          </w:p>
        </w:tc>
      </w:tr>
      <w:tr w:rsidR="006D21CD" w:rsidRPr="004256D6" w14:paraId="0B5F642D" w14:textId="77777777" w:rsidTr="00322417">
        <w:tc>
          <w:tcPr>
            <w:tcW w:w="1430" w:type="dxa"/>
          </w:tcPr>
          <w:p w14:paraId="4D726BA9" w14:textId="77777777" w:rsidR="006D21CD" w:rsidRPr="004256D6" w:rsidRDefault="006D21CD" w:rsidP="00322417">
            <w:pPr>
              <w:rPr>
                <w:rStyle w:val="Ref"/>
                <w:rFonts w:eastAsia="Calibri"/>
                <w:color w:val="000000"/>
                <w:szCs w:val="20"/>
              </w:rPr>
            </w:pPr>
          </w:p>
        </w:tc>
        <w:tc>
          <w:tcPr>
            <w:tcW w:w="1236" w:type="dxa"/>
          </w:tcPr>
          <w:p w14:paraId="39990198"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2019/20</w:t>
            </w:r>
          </w:p>
        </w:tc>
        <w:tc>
          <w:tcPr>
            <w:tcW w:w="1237" w:type="dxa"/>
          </w:tcPr>
          <w:p w14:paraId="3DDEFDD5"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2018/19</w:t>
            </w:r>
          </w:p>
        </w:tc>
        <w:tc>
          <w:tcPr>
            <w:tcW w:w="1324" w:type="dxa"/>
          </w:tcPr>
          <w:p w14:paraId="2EBCB783"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2017/18</w:t>
            </w:r>
          </w:p>
        </w:tc>
        <w:tc>
          <w:tcPr>
            <w:tcW w:w="1217" w:type="dxa"/>
          </w:tcPr>
          <w:p w14:paraId="18D8DBFB"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2019/20</w:t>
            </w:r>
          </w:p>
        </w:tc>
        <w:tc>
          <w:tcPr>
            <w:tcW w:w="1219" w:type="dxa"/>
          </w:tcPr>
          <w:p w14:paraId="527BF949"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2018/19</w:t>
            </w:r>
          </w:p>
        </w:tc>
        <w:tc>
          <w:tcPr>
            <w:tcW w:w="1219" w:type="dxa"/>
          </w:tcPr>
          <w:p w14:paraId="79173BD5"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2017/18</w:t>
            </w:r>
          </w:p>
        </w:tc>
      </w:tr>
      <w:tr w:rsidR="006D21CD" w:rsidRPr="004256D6" w14:paraId="0BC0072E" w14:textId="77777777" w:rsidTr="00322417">
        <w:tc>
          <w:tcPr>
            <w:tcW w:w="1430" w:type="dxa"/>
          </w:tcPr>
          <w:p w14:paraId="6592C752"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I</w:t>
            </w:r>
          </w:p>
        </w:tc>
        <w:tc>
          <w:tcPr>
            <w:tcW w:w="1236" w:type="dxa"/>
          </w:tcPr>
          <w:p w14:paraId="4AF57EBD" w14:textId="1F83C1B5" w:rsidR="006D21CD" w:rsidRPr="004256D6" w:rsidRDefault="00FE130B" w:rsidP="00322417">
            <w:pPr>
              <w:rPr>
                <w:rStyle w:val="Ref"/>
                <w:rFonts w:eastAsia="Calibri"/>
                <w:color w:val="000000"/>
                <w:szCs w:val="20"/>
              </w:rPr>
            </w:pPr>
            <w:r>
              <w:rPr>
                <w:rStyle w:val="Ref"/>
                <w:rFonts w:eastAsia="Calibri"/>
                <w:color w:val="000000"/>
                <w:szCs w:val="20"/>
              </w:rPr>
              <w:t>12</w:t>
            </w:r>
          </w:p>
        </w:tc>
        <w:tc>
          <w:tcPr>
            <w:tcW w:w="1237" w:type="dxa"/>
          </w:tcPr>
          <w:p w14:paraId="470BEC5B" w14:textId="5AF80EB0" w:rsidR="006D21CD" w:rsidRPr="004256D6" w:rsidRDefault="0081429D" w:rsidP="00322417">
            <w:pPr>
              <w:rPr>
                <w:rStyle w:val="Ref"/>
                <w:rFonts w:eastAsia="Calibri"/>
                <w:color w:val="000000"/>
                <w:szCs w:val="20"/>
              </w:rPr>
            </w:pPr>
            <w:r>
              <w:rPr>
                <w:rStyle w:val="Ref"/>
                <w:rFonts w:eastAsia="Calibri"/>
                <w:color w:val="000000"/>
                <w:szCs w:val="20"/>
              </w:rPr>
              <w:t>2</w:t>
            </w:r>
          </w:p>
        </w:tc>
        <w:tc>
          <w:tcPr>
            <w:tcW w:w="1324" w:type="dxa"/>
          </w:tcPr>
          <w:p w14:paraId="2F7734C7" w14:textId="696A9A2D" w:rsidR="006D21CD" w:rsidRPr="004256D6" w:rsidRDefault="0081429D" w:rsidP="00322417">
            <w:pPr>
              <w:rPr>
                <w:rStyle w:val="Ref"/>
                <w:rFonts w:eastAsia="Calibri"/>
                <w:color w:val="000000"/>
                <w:szCs w:val="20"/>
              </w:rPr>
            </w:pPr>
            <w:r>
              <w:rPr>
                <w:rStyle w:val="Ref"/>
                <w:rFonts w:eastAsia="Calibri"/>
                <w:color w:val="000000"/>
                <w:szCs w:val="20"/>
              </w:rPr>
              <w:t>10</w:t>
            </w:r>
          </w:p>
        </w:tc>
        <w:tc>
          <w:tcPr>
            <w:tcW w:w="1217" w:type="dxa"/>
          </w:tcPr>
          <w:p w14:paraId="0B308858" w14:textId="143F3BCE" w:rsidR="006D21CD" w:rsidRPr="004256D6" w:rsidRDefault="00A9057F" w:rsidP="00322417">
            <w:pPr>
              <w:rPr>
                <w:rStyle w:val="Ref"/>
                <w:rFonts w:eastAsia="Calibri"/>
                <w:color w:val="000000"/>
                <w:szCs w:val="20"/>
              </w:rPr>
            </w:pPr>
            <w:r>
              <w:rPr>
                <w:rStyle w:val="Ref"/>
                <w:rFonts w:eastAsia="Calibri"/>
                <w:color w:val="000000"/>
                <w:szCs w:val="20"/>
              </w:rPr>
              <w:t>30.77</w:t>
            </w:r>
          </w:p>
        </w:tc>
        <w:tc>
          <w:tcPr>
            <w:tcW w:w="1219" w:type="dxa"/>
          </w:tcPr>
          <w:p w14:paraId="5FEB4779" w14:textId="238DC51D" w:rsidR="006D21CD" w:rsidRPr="004256D6" w:rsidRDefault="0081429D" w:rsidP="00322417">
            <w:pPr>
              <w:rPr>
                <w:rStyle w:val="Ref"/>
                <w:rFonts w:eastAsia="Calibri"/>
                <w:color w:val="000000"/>
                <w:szCs w:val="20"/>
              </w:rPr>
            </w:pPr>
            <w:r>
              <w:rPr>
                <w:rStyle w:val="Ref"/>
                <w:rFonts w:eastAsia="Calibri"/>
                <w:color w:val="000000"/>
                <w:szCs w:val="20"/>
              </w:rPr>
              <w:t>6.66</w:t>
            </w:r>
          </w:p>
        </w:tc>
        <w:tc>
          <w:tcPr>
            <w:tcW w:w="1219" w:type="dxa"/>
          </w:tcPr>
          <w:p w14:paraId="6021CCF0" w14:textId="36D09970" w:rsidR="006D21CD" w:rsidRPr="004256D6" w:rsidRDefault="0081429D" w:rsidP="00322417">
            <w:pPr>
              <w:rPr>
                <w:rStyle w:val="Ref"/>
                <w:rFonts w:eastAsia="Calibri"/>
                <w:color w:val="000000"/>
                <w:szCs w:val="20"/>
              </w:rPr>
            </w:pPr>
            <w:r>
              <w:rPr>
                <w:rStyle w:val="Ref"/>
                <w:rFonts w:eastAsia="Calibri"/>
                <w:color w:val="000000"/>
                <w:szCs w:val="20"/>
              </w:rPr>
              <w:t>30.30</w:t>
            </w:r>
          </w:p>
        </w:tc>
      </w:tr>
      <w:tr w:rsidR="006D21CD" w:rsidRPr="004256D6" w14:paraId="38D10545" w14:textId="77777777" w:rsidTr="00322417">
        <w:tc>
          <w:tcPr>
            <w:tcW w:w="1430" w:type="dxa"/>
          </w:tcPr>
          <w:p w14:paraId="60E02A14"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II.I</w:t>
            </w:r>
          </w:p>
        </w:tc>
        <w:tc>
          <w:tcPr>
            <w:tcW w:w="1236" w:type="dxa"/>
          </w:tcPr>
          <w:p w14:paraId="12BB2E37" w14:textId="02EFB48F" w:rsidR="006D21CD" w:rsidRPr="004256D6" w:rsidRDefault="004D7B9B" w:rsidP="00322417">
            <w:pPr>
              <w:rPr>
                <w:rStyle w:val="Ref"/>
                <w:rFonts w:eastAsia="Calibri"/>
                <w:color w:val="000000"/>
                <w:szCs w:val="20"/>
              </w:rPr>
            </w:pPr>
            <w:r>
              <w:rPr>
                <w:rStyle w:val="Ref"/>
                <w:rFonts w:eastAsia="Calibri"/>
                <w:color w:val="000000"/>
                <w:szCs w:val="20"/>
              </w:rPr>
              <w:t>13</w:t>
            </w:r>
          </w:p>
        </w:tc>
        <w:tc>
          <w:tcPr>
            <w:tcW w:w="1237" w:type="dxa"/>
          </w:tcPr>
          <w:p w14:paraId="31E8AB81" w14:textId="502A0110" w:rsidR="006D21CD" w:rsidRPr="004256D6" w:rsidRDefault="0081429D" w:rsidP="00322417">
            <w:pPr>
              <w:rPr>
                <w:rStyle w:val="Ref"/>
                <w:rFonts w:eastAsia="Calibri"/>
                <w:color w:val="000000"/>
                <w:szCs w:val="20"/>
              </w:rPr>
            </w:pPr>
            <w:r>
              <w:rPr>
                <w:rStyle w:val="Ref"/>
                <w:rFonts w:eastAsia="Calibri"/>
                <w:color w:val="000000"/>
                <w:szCs w:val="20"/>
              </w:rPr>
              <w:t>28</w:t>
            </w:r>
          </w:p>
        </w:tc>
        <w:tc>
          <w:tcPr>
            <w:tcW w:w="1324" w:type="dxa"/>
          </w:tcPr>
          <w:p w14:paraId="46083E31" w14:textId="3DB8E4F7" w:rsidR="006D21CD" w:rsidRPr="004256D6" w:rsidRDefault="0081429D" w:rsidP="00322417">
            <w:pPr>
              <w:rPr>
                <w:rStyle w:val="Ref"/>
                <w:rFonts w:eastAsia="Calibri"/>
                <w:color w:val="000000"/>
                <w:szCs w:val="20"/>
              </w:rPr>
            </w:pPr>
            <w:r>
              <w:rPr>
                <w:rStyle w:val="Ref"/>
                <w:rFonts w:eastAsia="Calibri"/>
                <w:color w:val="000000"/>
                <w:szCs w:val="20"/>
              </w:rPr>
              <w:t>23</w:t>
            </w:r>
          </w:p>
        </w:tc>
        <w:tc>
          <w:tcPr>
            <w:tcW w:w="1217" w:type="dxa"/>
          </w:tcPr>
          <w:p w14:paraId="4546BED5" w14:textId="39960A69" w:rsidR="006D21CD" w:rsidRPr="004256D6" w:rsidRDefault="00A9057F" w:rsidP="00322417">
            <w:pPr>
              <w:rPr>
                <w:rStyle w:val="Ref"/>
                <w:rFonts w:eastAsia="Calibri"/>
                <w:color w:val="000000"/>
                <w:szCs w:val="20"/>
              </w:rPr>
            </w:pPr>
            <w:r>
              <w:rPr>
                <w:rStyle w:val="Ref"/>
                <w:rFonts w:eastAsia="Calibri"/>
                <w:color w:val="000000"/>
                <w:szCs w:val="20"/>
              </w:rPr>
              <w:t>69.23</w:t>
            </w:r>
          </w:p>
        </w:tc>
        <w:tc>
          <w:tcPr>
            <w:tcW w:w="1219" w:type="dxa"/>
          </w:tcPr>
          <w:p w14:paraId="4613D3D6" w14:textId="09BB3E7B" w:rsidR="006D21CD" w:rsidRPr="004256D6" w:rsidRDefault="0081429D" w:rsidP="00322417">
            <w:pPr>
              <w:rPr>
                <w:rStyle w:val="Ref"/>
                <w:rFonts w:eastAsia="Calibri"/>
                <w:color w:val="000000"/>
                <w:szCs w:val="20"/>
              </w:rPr>
            </w:pPr>
            <w:r>
              <w:rPr>
                <w:rStyle w:val="Ref"/>
                <w:rFonts w:eastAsia="Calibri"/>
                <w:color w:val="000000"/>
                <w:szCs w:val="20"/>
              </w:rPr>
              <w:t>93.33</w:t>
            </w:r>
          </w:p>
        </w:tc>
        <w:tc>
          <w:tcPr>
            <w:tcW w:w="1219" w:type="dxa"/>
          </w:tcPr>
          <w:p w14:paraId="01B28626" w14:textId="3DBA4ADC" w:rsidR="006D21CD" w:rsidRPr="004256D6" w:rsidRDefault="0081429D" w:rsidP="00322417">
            <w:pPr>
              <w:rPr>
                <w:rStyle w:val="Ref"/>
                <w:rFonts w:eastAsia="Calibri"/>
                <w:color w:val="000000"/>
                <w:szCs w:val="20"/>
              </w:rPr>
            </w:pPr>
            <w:r>
              <w:rPr>
                <w:rStyle w:val="Ref"/>
                <w:rFonts w:eastAsia="Calibri"/>
                <w:color w:val="000000"/>
                <w:szCs w:val="20"/>
              </w:rPr>
              <w:t>69.70</w:t>
            </w:r>
          </w:p>
        </w:tc>
      </w:tr>
      <w:tr w:rsidR="006D21CD" w:rsidRPr="004256D6" w14:paraId="4BDE17CD" w14:textId="77777777" w:rsidTr="00322417">
        <w:tc>
          <w:tcPr>
            <w:tcW w:w="1430" w:type="dxa"/>
          </w:tcPr>
          <w:p w14:paraId="45C3FB04"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II.II</w:t>
            </w:r>
          </w:p>
        </w:tc>
        <w:tc>
          <w:tcPr>
            <w:tcW w:w="1236" w:type="dxa"/>
          </w:tcPr>
          <w:p w14:paraId="0A8195DC" w14:textId="77777777" w:rsidR="006D21CD" w:rsidRPr="004256D6" w:rsidRDefault="006D21CD" w:rsidP="00322417">
            <w:pPr>
              <w:rPr>
                <w:rStyle w:val="Ref"/>
                <w:rFonts w:eastAsia="Calibri"/>
                <w:color w:val="000000"/>
                <w:szCs w:val="20"/>
              </w:rPr>
            </w:pPr>
          </w:p>
        </w:tc>
        <w:tc>
          <w:tcPr>
            <w:tcW w:w="1237" w:type="dxa"/>
          </w:tcPr>
          <w:p w14:paraId="285EBE63" w14:textId="53756C2F" w:rsidR="006D21CD" w:rsidRPr="004256D6" w:rsidRDefault="006D21CD" w:rsidP="00322417">
            <w:pPr>
              <w:rPr>
                <w:rStyle w:val="Ref"/>
                <w:rFonts w:eastAsia="Calibri"/>
                <w:color w:val="000000"/>
                <w:szCs w:val="20"/>
              </w:rPr>
            </w:pPr>
          </w:p>
        </w:tc>
        <w:tc>
          <w:tcPr>
            <w:tcW w:w="1324" w:type="dxa"/>
          </w:tcPr>
          <w:p w14:paraId="55BAAEE9" w14:textId="7BED2370" w:rsidR="006D21CD" w:rsidRPr="004256D6" w:rsidRDefault="006D21CD" w:rsidP="00322417">
            <w:pPr>
              <w:rPr>
                <w:rStyle w:val="Ref"/>
                <w:rFonts w:eastAsia="Calibri"/>
                <w:color w:val="000000"/>
                <w:szCs w:val="20"/>
              </w:rPr>
            </w:pPr>
          </w:p>
        </w:tc>
        <w:tc>
          <w:tcPr>
            <w:tcW w:w="1217" w:type="dxa"/>
          </w:tcPr>
          <w:p w14:paraId="75D4FD67" w14:textId="77777777" w:rsidR="006D21CD" w:rsidRPr="004256D6" w:rsidRDefault="006D21CD" w:rsidP="00322417">
            <w:pPr>
              <w:rPr>
                <w:rStyle w:val="Ref"/>
                <w:rFonts w:eastAsia="Calibri"/>
                <w:color w:val="000000"/>
                <w:szCs w:val="20"/>
              </w:rPr>
            </w:pPr>
          </w:p>
        </w:tc>
        <w:tc>
          <w:tcPr>
            <w:tcW w:w="1219" w:type="dxa"/>
          </w:tcPr>
          <w:p w14:paraId="070A53AE" w14:textId="4D4F729F" w:rsidR="006D21CD" w:rsidRPr="004256D6" w:rsidRDefault="006D21CD" w:rsidP="00322417">
            <w:pPr>
              <w:rPr>
                <w:rStyle w:val="Ref"/>
                <w:rFonts w:eastAsia="Calibri"/>
                <w:color w:val="000000"/>
                <w:szCs w:val="20"/>
              </w:rPr>
            </w:pPr>
          </w:p>
        </w:tc>
        <w:tc>
          <w:tcPr>
            <w:tcW w:w="1219" w:type="dxa"/>
          </w:tcPr>
          <w:p w14:paraId="3238E60C" w14:textId="642728A7" w:rsidR="006D21CD" w:rsidRPr="004256D6" w:rsidRDefault="006D21CD" w:rsidP="00322417">
            <w:pPr>
              <w:rPr>
                <w:rStyle w:val="Ref"/>
                <w:rFonts w:eastAsia="Calibri"/>
                <w:color w:val="000000"/>
                <w:szCs w:val="20"/>
              </w:rPr>
            </w:pPr>
          </w:p>
        </w:tc>
      </w:tr>
      <w:tr w:rsidR="006D21CD" w:rsidRPr="004256D6" w14:paraId="62076B1F" w14:textId="77777777" w:rsidTr="00322417">
        <w:tc>
          <w:tcPr>
            <w:tcW w:w="1430" w:type="dxa"/>
          </w:tcPr>
          <w:p w14:paraId="2243EB37"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III</w:t>
            </w:r>
          </w:p>
        </w:tc>
        <w:tc>
          <w:tcPr>
            <w:tcW w:w="1236" w:type="dxa"/>
          </w:tcPr>
          <w:p w14:paraId="22A36B5C" w14:textId="77777777" w:rsidR="006D21CD" w:rsidRPr="004256D6" w:rsidRDefault="006D21CD" w:rsidP="00322417">
            <w:pPr>
              <w:rPr>
                <w:rStyle w:val="Ref"/>
                <w:rFonts w:eastAsia="Calibri"/>
                <w:color w:val="000000"/>
                <w:szCs w:val="20"/>
              </w:rPr>
            </w:pPr>
          </w:p>
        </w:tc>
        <w:tc>
          <w:tcPr>
            <w:tcW w:w="1237" w:type="dxa"/>
          </w:tcPr>
          <w:p w14:paraId="725A5BBF" w14:textId="77777777" w:rsidR="006D21CD" w:rsidRPr="004256D6" w:rsidRDefault="006D21CD" w:rsidP="00322417">
            <w:pPr>
              <w:rPr>
                <w:rStyle w:val="Ref"/>
                <w:rFonts w:eastAsia="Calibri"/>
                <w:color w:val="000000"/>
                <w:szCs w:val="20"/>
              </w:rPr>
            </w:pPr>
          </w:p>
        </w:tc>
        <w:tc>
          <w:tcPr>
            <w:tcW w:w="1324" w:type="dxa"/>
          </w:tcPr>
          <w:p w14:paraId="0F7E987D" w14:textId="77777777" w:rsidR="006D21CD" w:rsidRPr="004256D6" w:rsidRDefault="006D21CD" w:rsidP="00322417">
            <w:pPr>
              <w:rPr>
                <w:rStyle w:val="Ref"/>
                <w:rFonts w:eastAsia="Calibri"/>
                <w:color w:val="000000"/>
                <w:szCs w:val="20"/>
              </w:rPr>
            </w:pPr>
          </w:p>
        </w:tc>
        <w:tc>
          <w:tcPr>
            <w:tcW w:w="1217" w:type="dxa"/>
          </w:tcPr>
          <w:p w14:paraId="06ACAEAF" w14:textId="77777777" w:rsidR="006D21CD" w:rsidRPr="004256D6" w:rsidRDefault="006D21CD" w:rsidP="00322417">
            <w:pPr>
              <w:rPr>
                <w:rStyle w:val="Ref"/>
                <w:rFonts w:eastAsia="Calibri"/>
                <w:color w:val="000000"/>
                <w:szCs w:val="20"/>
              </w:rPr>
            </w:pPr>
          </w:p>
        </w:tc>
        <w:tc>
          <w:tcPr>
            <w:tcW w:w="1219" w:type="dxa"/>
          </w:tcPr>
          <w:p w14:paraId="29B616B0" w14:textId="77777777" w:rsidR="006D21CD" w:rsidRPr="004256D6" w:rsidRDefault="006D21CD" w:rsidP="00322417">
            <w:pPr>
              <w:rPr>
                <w:rStyle w:val="Ref"/>
                <w:rFonts w:eastAsia="Calibri"/>
                <w:color w:val="000000"/>
                <w:szCs w:val="20"/>
              </w:rPr>
            </w:pPr>
          </w:p>
        </w:tc>
        <w:tc>
          <w:tcPr>
            <w:tcW w:w="1219" w:type="dxa"/>
          </w:tcPr>
          <w:p w14:paraId="499130BC" w14:textId="77777777" w:rsidR="006D21CD" w:rsidRPr="004256D6" w:rsidRDefault="006D21CD" w:rsidP="00322417">
            <w:pPr>
              <w:rPr>
                <w:rStyle w:val="Ref"/>
                <w:rFonts w:eastAsia="Calibri"/>
                <w:color w:val="000000"/>
                <w:szCs w:val="20"/>
              </w:rPr>
            </w:pPr>
          </w:p>
        </w:tc>
      </w:tr>
      <w:tr w:rsidR="006D21CD" w:rsidRPr="004256D6" w14:paraId="20830E0C" w14:textId="77777777" w:rsidTr="00322417">
        <w:tc>
          <w:tcPr>
            <w:tcW w:w="1430" w:type="dxa"/>
          </w:tcPr>
          <w:p w14:paraId="51A56166"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Pass</w:t>
            </w:r>
          </w:p>
        </w:tc>
        <w:tc>
          <w:tcPr>
            <w:tcW w:w="1236" w:type="dxa"/>
          </w:tcPr>
          <w:p w14:paraId="5096576D" w14:textId="77777777" w:rsidR="006D21CD" w:rsidRPr="004256D6" w:rsidRDefault="006D21CD" w:rsidP="00322417">
            <w:pPr>
              <w:rPr>
                <w:rStyle w:val="Ref"/>
                <w:rFonts w:eastAsia="Calibri"/>
                <w:color w:val="000000"/>
                <w:szCs w:val="20"/>
              </w:rPr>
            </w:pPr>
          </w:p>
        </w:tc>
        <w:tc>
          <w:tcPr>
            <w:tcW w:w="1237" w:type="dxa"/>
          </w:tcPr>
          <w:p w14:paraId="32A4D47A" w14:textId="77777777" w:rsidR="006D21CD" w:rsidRPr="004256D6" w:rsidRDefault="006D21CD" w:rsidP="00322417">
            <w:pPr>
              <w:rPr>
                <w:rStyle w:val="Ref"/>
                <w:rFonts w:eastAsia="Calibri"/>
                <w:color w:val="000000"/>
                <w:szCs w:val="20"/>
              </w:rPr>
            </w:pPr>
          </w:p>
        </w:tc>
        <w:tc>
          <w:tcPr>
            <w:tcW w:w="1324" w:type="dxa"/>
          </w:tcPr>
          <w:p w14:paraId="78782B07" w14:textId="314681A5" w:rsidR="006D21CD" w:rsidRPr="004256D6" w:rsidRDefault="006D21CD" w:rsidP="00322417">
            <w:pPr>
              <w:rPr>
                <w:rStyle w:val="Ref"/>
                <w:rFonts w:eastAsia="Calibri"/>
                <w:color w:val="000000"/>
                <w:szCs w:val="20"/>
              </w:rPr>
            </w:pPr>
          </w:p>
        </w:tc>
        <w:tc>
          <w:tcPr>
            <w:tcW w:w="1217" w:type="dxa"/>
          </w:tcPr>
          <w:p w14:paraId="35179C29" w14:textId="77777777" w:rsidR="006D21CD" w:rsidRPr="004256D6" w:rsidRDefault="006D21CD" w:rsidP="00322417">
            <w:pPr>
              <w:rPr>
                <w:rStyle w:val="Ref"/>
                <w:rFonts w:eastAsia="Calibri"/>
                <w:color w:val="000000"/>
                <w:szCs w:val="20"/>
              </w:rPr>
            </w:pPr>
          </w:p>
        </w:tc>
        <w:tc>
          <w:tcPr>
            <w:tcW w:w="1219" w:type="dxa"/>
          </w:tcPr>
          <w:p w14:paraId="65CEAB08" w14:textId="77777777" w:rsidR="006D21CD" w:rsidRPr="004256D6" w:rsidRDefault="006D21CD" w:rsidP="00322417">
            <w:pPr>
              <w:rPr>
                <w:rStyle w:val="Ref"/>
                <w:rFonts w:eastAsia="Calibri"/>
                <w:color w:val="000000"/>
                <w:szCs w:val="20"/>
              </w:rPr>
            </w:pPr>
          </w:p>
        </w:tc>
        <w:tc>
          <w:tcPr>
            <w:tcW w:w="1219" w:type="dxa"/>
          </w:tcPr>
          <w:p w14:paraId="44843F74" w14:textId="5AC42183" w:rsidR="006D21CD" w:rsidRPr="004256D6" w:rsidRDefault="006D21CD" w:rsidP="00322417">
            <w:pPr>
              <w:rPr>
                <w:rStyle w:val="Ref"/>
                <w:rFonts w:eastAsia="Calibri"/>
                <w:color w:val="000000"/>
                <w:szCs w:val="20"/>
              </w:rPr>
            </w:pPr>
          </w:p>
        </w:tc>
      </w:tr>
      <w:tr w:rsidR="006D21CD" w:rsidRPr="004256D6" w14:paraId="2AE529F9" w14:textId="77777777" w:rsidTr="00322417">
        <w:tc>
          <w:tcPr>
            <w:tcW w:w="1430" w:type="dxa"/>
          </w:tcPr>
          <w:p w14:paraId="5EBEB215" w14:textId="77777777" w:rsidR="006D21CD" w:rsidRPr="004256D6" w:rsidRDefault="006D21CD" w:rsidP="00322417">
            <w:pPr>
              <w:rPr>
                <w:rStyle w:val="Ref"/>
                <w:rFonts w:eastAsia="Calibri"/>
                <w:color w:val="000000"/>
                <w:szCs w:val="20"/>
              </w:rPr>
            </w:pPr>
            <w:r w:rsidRPr="004256D6">
              <w:rPr>
                <w:rStyle w:val="Ref"/>
                <w:rFonts w:eastAsia="Calibri"/>
                <w:color w:val="000000"/>
                <w:szCs w:val="20"/>
              </w:rPr>
              <w:t>Fail</w:t>
            </w:r>
          </w:p>
        </w:tc>
        <w:tc>
          <w:tcPr>
            <w:tcW w:w="1236" w:type="dxa"/>
          </w:tcPr>
          <w:p w14:paraId="54C2B3A8" w14:textId="77777777" w:rsidR="006D21CD" w:rsidRPr="004256D6" w:rsidRDefault="006D21CD" w:rsidP="00322417">
            <w:pPr>
              <w:rPr>
                <w:rStyle w:val="Ref"/>
                <w:rFonts w:eastAsia="Calibri"/>
                <w:color w:val="000000"/>
                <w:szCs w:val="20"/>
              </w:rPr>
            </w:pPr>
          </w:p>
        </w:tc>
        <w:tc>
          <w:tcPr>
            <w:tcW w:w="1237" w:type="dxa"/>
          </w:tcPr>
          <w:p w14:paraId="4C7320AD" w14:textId="08F931CC" w:rsidR="006D21CD" w:rsidRPr="004256D6" w:rsidRDefault="006D21CD" w:rsidP="00322417">
            <w:pPr>
              <w:rPr>
                <w:rStyle w:val="Ref"/>
                <w:rFonts w:eastAsia="Calibri"/>
                <w:color w:val="000000"/>
                <w:szCs w:val="20"/>
              </w:rPr>
            </w:pPr>
          </w:p>
        </w:tc>
        <w:tc>
          <w:tcPr>
            <w:tcW w:w="1324" w:type="dxa"/>
          </w:tcPr>
          <w:p w14:paraId="77B97538" w14:textId="77777777" w:rsidR="006D21CD" w:rsidRPr="004256D6" w:rsidRDefault="006D21CD" w:rsidP="00322417">
            <w:pPr>
              <w:rPr>
                <w:rStyle w:val="Ref"/>
                <w:rFonts w:eastAsia="Calibri"/>
                <w:color w:val="000000"/>
                <w:szCs w:val="20"/>
              </w:rPr>
            </w:pPr>
          </w:p>
        </w:tc>
        <w:tc>
          <w:tcPr>
            <w:tcW w:w="1217" w:type="dxa"/>
          </w:tcPr>
          <w:p w14:paraId="20D2E686" w14:textId="77777777" w:rsidR="006D21CD" w:rsidRPr="004256D6" w:rsidRDefault="006D21CD" w:rsidP="00322417">
            <w:pPr>
              <w:rPr>
                <w:rStyle w:val="Ref"/>
                <w:rFonts w:eastAsia="Calibri"/>
                <w:color w:val="000000"/>
                <w:szCs w:val="20"/>
              </w:rPr>
            </w:pPr>
          </w:p>
        </w:tc>
        <w:tc>
          <w:tcPr>
            <w:tcW w:w="1219" w:type="dxa"/>
          </w:tcPr>
          <w:p w14:paraId="55E25BD9" w14:textId="78E875B9" w:rsidR="006D21CD" w:rsidRPr="004256D6" w:rsidRDefault="006D21CD" w:rsidP="00322417">
            <w:pPr>
              <w:rPr>
                <w:rStyle w:val="Ref"/>
                <w:rFonts w:eastAsia="Calibri"/>
                <w:color w:val="000000"/>
                <w:szCs w:val="20"/>
              </w:rPr>
            </w:pPr>
          </w:p>
        </w:tc>
        <w:tc>
          <w:tcPr>
            <w:tcW w:w="1219" w:type="dxa"/>
          </w:tcPr>
          <w:p w14:paraId="67EA845F" w14:textId="77777777" w:rsidR="006D21CD" w:rsidRPr="004256D6" w:rsidRDefault="006D21CD" w:rsidP="00322417">
            <w:pPr>
              <w:rPr>
                <w:rStyle w:val="Ref"/>
                <w:rFonts w:eastAsia="Calibri"/>
                <w:color w:val="000000"/>
                <w:szCs w:val="20"/>
              </w:rPr>
            </w:pPr>
          </w:p>
        </w:tc>
      </w:tr>
    </w:tbl>
    <w:p w14:paraId="19F7DFD6" w14:textId="57CBDD17" w:rsidR="006D21CD" w:rsidRDefault="006D21CD" w:rsidP="00131FDC">
      <w:pPr>
        <w:rPr>
          <w:rStyle w:val="Ref"/>
          <w:rFonts w:eastAsia="Calibri"/>
          <w:color w:val="000000"/>
          <w:szCs w:val="20"/>
        </w:rPr>
      </w:pPr>
    </w:p>
    <w:p w14:paraId="42ED9CEA" w14:textId="28B9C21A" w:rsidR="0081429D" w:rsidRDefault="0081429D" w:rsidP="00131FDC">
      <w:pPr>
        <w:rPr>
          <w:rStyle w:val="Ref"/>
          <w:rFonts w:eastAsia="Calibri"/>
          <w:color w:val="000000"/>
          <w:szCs w:val="20"/>
        </w:rPr>
      </w:pPr>
    </w:p>
    <w:p w14:paraId="795820DB" w14:textId="44F1615A" w:rsidR="0081429D" w:rsidRDefault="0081429D" w:rsidP="00131FDC">
      <w:pPr>
        <w:rPr>
          <w:rStyle w:val="Ref"/>
          <w:rFonts w:eastAsia="Calibri"/>
          <w:color w:val="000000"/>
          <w:szCs w:val="20"/>
        </w:rPr>
      </w:pPr>
    </w:p>
    <w:p w14:paraId="5949D3FA" w14:textId="77777777" w:rsidR="00D81964" w:rsidRDefault="00D81964" w:rsidP="00131FDC">
      <w:pPr>
        <w:rPr>
          <w:rStyle w:val="Ref"/>
          <w:rFonts w:eastAsia="Calibri"/>
          <w:color w:val="000000"/>
          <w:szCs w:val="20"/>
        </w:rPr>
      </w:pPr>
    </w:p>
    <w:p w14:paraId="7B3093D5" w14:textId="3FB9E318" w:rsidR="0081429D" w:rsidRDefault="0081429D" w:rsidP="00131FDC">
      <w:pPr>
        <w:rPr>
          <w:rStyle w:val="Ref"/>
          <w:rFonts w:eastAsia="Calibri"/>
          <w:color w:val="000000"/>
          <w:szCs w:val="20"/>
        </w:rPr>
      </w:pPr>
      <w:r>
        <w:rPr>
          <w:rStyle w:val="Ref"/>
          <w:rFonts w:eastAsia="Calibri"/>
          <w:color w:val="000000"/>
          <w:szCs w:val="20"/>
        </w:rPr>
        <w:lastRenderedPageBreak/>
        <w:t>FHS Course 1 and 2 combined</w:t>
      </w:r>
      <w:r>
        <w:rPr>
          <w:rStyle w:val="Ref"/>
          <w:rFonts w:eastAsia="Calibri"/>
          <w:color w:val="000000"/>
          <w:szCs w:val="20"/>
        </w:rPr>
        <w:tab/>
      </w:r>
      <w:r>
        <w:rPr>
          <w:rStyle w:val="Ref"/>
          <w:rFonts w:eastAsia="Calibri"/>
          <w:color w:val="00000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236"/>
        <w:gridCol w:w="1237"/>
        <w:gridCol w:w="1324"/>
        <w:gridCol w:w="1217"/>
        <w:gridCol w:w="1219"/>
        <w:gridCol w:w="1219"/>
      </w:tblGrid>
      <w:tr w:rsidR="0081429D" w:rsidRPr="004256D6" w14:paraId="0CD8F415" w14:textId="77777777" w:rsidTr="00322417">
        <w:trPr>
          <w:cantSplit/>
        </w:trPr>
        <w:tc>
          <w:tcPr>
            <w:tcW w:w="1430" w:type="dxa"/>
          </w:tcPr>
          <w:p w14:paraId="654A7A76"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Class</w:t>
            </w:r>
          </w:p>
        </w:tc>
        <w:tc>
          <w:tcPr>
            <w:tcW w:w="3797" w:type="dxa"/>
            <w:gridSpan w:val="3"/>
          </w:tcPr>
          <w:p w14:paraId="7548E199"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Number</w:t>
            </w:r>
          </w:p>
        </w:tc>
        <w:tc>
          <w:tcPr>
            <w:tcW w:w="3655" w:type="dxa"/>
            <w:gridSpan w:val="3"/>
          </w:tcPr>
          <w:p w14:paraId="08039788"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Percentage (%)</w:t>
            </w:r>
          </w:p>
        </w:tc>
      </w:tr>
      <w:tr w:rsidR="0081429D" w:rsidRPr="004256D6" w14:paraId="5B714308" w14:textId="77777777" w:rsidTr="00322417">
        <w:tc>
          <w:tcPr>
            <w:tcW w:w="1430" w:type="dxa"/>
          </w:tcPr>
          <w:p w14:paraId="7A187B87" w14:textId="77777777" w:rsidR="0081429D" w:rsidRPr="004256D6" w:rsidRDefault="0081429D" w:rsidP="00322417">
            <w:pPr>
              <w:rPr>
                <w:rStyle w:val="Ref"/>
                <w:rFonts w:eastAsia="Calibri"/>
                <w:color w:val="000000"/>
                <w:szCs w:val="20"/>
              </w:rPr>
            </w:pPr>
          </w:p>
        </w:tc>
        <w:tc>
          <w:tcPr>
            <w:tcW w:w="1236" w:type="dxa"/>
          </w:tcPr>
          <w:p w14:paraId="1847E933"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2019/20</w:t>
            </w:r>
          </w:p>
        </w:tc>
        <w:tc>
          <w:tcPr>
            <w:tcW w:w="1237" w:type="dxa"/>
          </w:tcPr>
          <w:p w14:paraId="19CA0672"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2018/19</w:t>
            </w:r>
          </w:p>
        </w:tc>
        <w:tc>
          <w:tcPr>
            <w:tcW w:w="1324" w:type="dxa"/>
          </w:tcPr>
          <w:p w14:paraId="766610BD"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2017/18</w:t>
            </w:r>
          </w:p>
        </w:tc>
        <w:tc>
          <w:tcPr>
            <w:tcW w:w="1217" w:type="dxa"/>
          </w:tcPr>
          <w:p w14:paraId="449D0DE2"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2019/20</w:t>
            </w:r>
          </w:p>
        </w:tc>
        <w:tc>
          <w:tcPr>
            <w:tcW w:w="1219" w:type="dxa"/>
          </w:tcPr>
          <w:p w14:paraId="582A6E3E"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2018/19</w:t>
            </w:r>
          </w:p>
        </w:tc>
        <w:tc>
          <w:tcPr>
            <w:tcW w:w="1219" w:type="dxa"/>
          </w:tcPr>
          <w:p w14:paraId="6ED423E0"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2017/18</w:t>
            </w:r>
          </w:p>
        </w:tc>
      </w:tr>
      <w:tr w:rsidR="0081429D" w:rsidRPr="004256D6" w14:paraId="73D060C1" w14:textId="77777777" w:rsidTr="00322417">
        <w:tc>
          <w:tcPr>
            <w:tcW w:w="1430" w:type="dxa"/>
          </w:tcPr>
          <w:p w14:paraId="23257116"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I</w:t>
            </w:r>
          </w:p>
        </w:tc>
        <w:tc>
          <w:tcPr>
            <w:tcW w:w="1236" w:type="dxa"/>
          </w:tcPr>
          <w:p w14:paraId="6E701109" w14:textId="04A89566" w:rsidR="0081429D" w:rsidRPr="004256D6" w:rsidRDefault="00C35A93" w:rsidP="00322417">
            <w:pPr>
              <w:rPr>
                <w:rStyle w:val="Ref"/>
                <w:rFonts w:eastAsia="Calibri"/>
                <w:color w:val="000000"/>
                <w:szCs w:val="20"/>
              </w:rPr>
            </w:pPr>
            <w:r>
              <w:rPr>
                <w:rStyle w:val="Ref"/>
                <w:rFonts w:eastAsia="Calibri"/>
                <w:color w:val="000000"/>
                <w:szCs w:val="20"/>
              </w:rPr>
              <w:t>66</w:t>
            </w:r>
          </w:p>
        </w:tc>
        <w:tc>
          <w:tcPr>
            <w:tcW w:w="1237" w:type="dxa"/>
          </w:tcPr>
          <w:p w14:paraId="5C4A8160" w14:textId="2F0D1EF1" w:rsidR="0081429D" w:rsidRPr="004256D6" w:rsidRDefault="0081429D" w:rsidP="00322417">
            <w:pPr>
              <w:rPr>
                <w:rStyle w:val="Ref"/>
                <w:rFonts w:eastAsia="Calibri"/>
                <w:color w:val="000000"/>
                <w:szCs w:val="20"/>
              </w:rPr>
            </w:pPr>
            <w:r>
              <w:rPr>
                <w:rStyle w:val="Ref"/>
                <w:rFonts w:eastAsia="Calibri"/>
                <w:color w:val="000000"/>
                <w:szCs w:val="20"/>
              </w:rPr>
              <w:t>43</w:t>
            </w:r>
          </w:p>
        </w:tc>
        <w:tc>
          <w:tcPr>
            <w:tcW w:w="1324" w:type="dxa"/>
          </w:tcPr>
          <w:p w14:paraId="31522A80" w14:textId="61F5B595" w:rsidR="0081429D" w:rsidRPr="004256D6" w:rsidRDefault="0081429D" w:rsidP="00322417">
            <w:pPr>
              <w:rPr>
                <w:rStyle w:val="Ref"/>
                <w:rFonts w:eastAsia="Calibri"/>
                <w:color w:val="000000"/>
                <w:szCs w:val="20"/>
              </w:rPr>
            </w:pPr>
            <w:r>
              <w:rPr>
                <w:rStyle w:val="Ref"/>
                <w:rFonts w:eastAsia="Calibri"/>
                <w:color w:val="000000"/>
                <w:szCs w:val="20"/>
              </w:rPr>
              <w:t>48</w:t>
            </w:r>
          </w:p>
        </w:tc>
        <w:tc>
          <w:tcPr>
            <w:tcW w:w="1217" w:type="dxa"/>
          </w:tcPr>
          <w:p w14:paraId="3835362F" w14:textId="652B1158" w:rsidR="0081429D" w:rsidRPr="004256D6" w:rsidRDefault="00C35A93" w:rsidP="00322417">
            <w:pPr>
              <w:rPr>
                <w:rStyle w:val="Ref"/>
                <w:rFonts w:eastAsia="Calibri"/>
                <w:color w:val="000000"/>
                <w:szCs w:val="20"/>
              </w:rPr>
            </w:pPr>
            <w:r>
              <w:rPr>
                <w:rStyle w:val="Ref"/>
                <w:rFonts w:eastAsia="Calibri"/>
                <w:color w:val="000000"/>
                <w:szCs w:val="20"/>
              </w:rPr>
              <w:t>30.84</w:t>
            </w:r>
          </w:p>
        </w:tc>
        <w:tc>
          <w:tcPr>
            <w:tcW w:w="1219" w:type="dxa"/>
          </w:tcPr>
          <w:p w14:paraId="6C6C8010" w14:textId="2CF60558" w:rsidR="0081429D" w:rsidRPr="004256D6" w:rsidRDefault="0081429D" w:rsidP="00322417">
            <w:pPr>
              <w:rPr>
                <w:rStyle w:val="Ref"/>
                <w:rFonts w:eastAsia="Calibri"/>
                <w:color w:val="000000"/>
                <w:szCs w:val="20"/>
              </w:rPr>
            </w:pPr>
            <w:r>
              <w:rPr>
                <w:rStyle w:val="Ref"/>
                <w:rFonts w:eastAsia="Calibri"/>
                <w:color w:val="000000"/>
                <w:szCs w:val="20"/>
              </w:rPr>
              <w:t>18.45</w:t>
            </w:r>
          </w:p>
        </w:tc>
        <w:tc>
          <w:tcPr>
            <w:tcW w:w="1219" w:type="dxa"/>
          </w:tcPr>
          <w:p w14:paraId="1979E199" w14:textId="667FFCEC" w:rsidR="0081429D" w:rsidRPr="004256D6" w:rsidRDefault="0081429D" w:rsidP="00322417">
            <w:pPr>
              <w:rPr>
                <w:rStyle w:val="Ref"/>
                <w:rFonts w:eastAsia="Calibri"/>
                <w:color w:val="000000"/>
                <w:szCs w:val="20"/>
              </w:rPr>
            </w:pPr>
            <w:r>
              <w:rPr>
                <w:rStyle w:val="Ref"/>
                <w:rFonts w:eastAsia="Calibri"/>
                <w:color w:val="000000"/>
                <w:szCs w:val="20"/>
              </w:rPr>
              <w:t>22.53</w:t>
            </w:r>
          </w:p>
        </w:tc>
      </w:tr>
      <w:tr w:rsidR="0081429D" w:rsidRPr="004256D6" w14:paraId="7AE36509" w14:textId="77777777" w:rsidTr="00322417">
        <w:tc>
          <w:tcPr>
            <w:tcW w:w="1430" w:type="dxa"/>
          </w:tcPr>
          <w:p w14:paraId="1C1CB278"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II.I</w:t>
            </w:r>
          </w:p>
        </w:tc>
        <w:tc>
          <w:tcPr>
            <w:tcW w:w="1236" w:type="dxa"/>
          </w:tcPr>
          <w:p w14:paraId="13F75DDE" w14:textId="1310D5AA" w:rsidR="0081429D" w:rsidRPr="004256D6" w:rsidRDefault="004D7B9B" w:rsidP="00322417">
            <w:pPr>
              <w:rPr>
                <w:rStyle w:val="Ref"/>
                <w:rFonts w:eastAsia="Calibri"/>
                <w:color w:val="000000"/>
                <w:szCs w:val="20"/>
              </w:rPr>
            </w:pPr>
            <w:r>
              <w:rPr>
                <w:rStyle w:val="Ref"/>
                <w:rFonts w:eastAsia="Calibri"/>
                <w:color w:val="000000"/>
                <w:szCs w:val="20"/>
              </w:rPr>
              <w:t>133</w:t>
            </w:r>
          </w:p>
        </w:tc>
        <w:tc>
          <w:tcPr>
            <w:tcW w:w="1237" w:type="dxa"/>
          </w:tcPr>
          <w:p w14:paraId="13D8D0F0" w14:textId="6A34D760" w:rsidR="0081429D" w:rsidRPr="004256D6" w:rsidRDefault="0081429D" w:rsidP="00322417">
            <w:pPr>
              <w:rPr>
                <w:rStyle w:val="Ref"/>
                <w:rFonts w:eastAsia="Calibri"/>
                <w:color w:val="000000"/>
                <w:szCs w:val="20"/>
              </w:rPr>
            </w:pPr>
            <w:r>
              <w:rPr>
                <w:rStyle w:val="Ref"/>
                <w:rFonts w:eastAsia="Calibri"/>
                <w:color w:val="000000"/>
                <w:szCs w:val="20"/>
              </w:rPr>
              <w:t>183</w:t>
            </w:r>
          </w:p>
        </w:tc>
        <w:tc>
          <w:tcPr>
            <w:tcW w:w="1324" w:type="dxa"/>
          </w:tcPr>
          <w:p w14:paraId="7FD43F01" w14:textId="35523660" w:rsidR="0081429D" w:rsidRPr="004256D6" w:rsidRDefault="0081429D" w:rsidP="00322417">
            <w:pPr>
              <w:rPr>
                <w:rStyle w:val="Ref"/>
                <w:rFonts w:eastAsia="Calibri"/>
                <w:color w:val="000000"/>
                <w:szCs w:val="20"/>
              </w:rPr>
            </w:pPr>
            <w:r>
              <w:rPr>
                <w:rStyle w:val="Ref"/>
                <w:rFonts w:eastAsia="Calibri"/>
                <w:color w:val="000000"/>
                <w:szCs w:val="20"/>
              </w:rPr>
              <w:t>162</w:t>
            </w:r>
          </w:p>
        </w:tc>
        <w:tc>
          <w:tcPr>
            <w:tcW w:w="1217" w:type="dxa"/>
          </w:tcPr>
          <w:p w14:paraId="0C8215EF" w14:textId="699F01EF" w:rsidR="0081429D" w:rsidRPr="004256D6" w:rsidRDefault="00C35A93" w:rsidP="00322417">
            <w:pPr>
              <w:rPr>
                <w:rStyle w:val="Ref"/>
                <w:rFonts w:eastAsia="Calibri"/>
                <w:color w:val="000000"/>
                <w:szCs w:val="20"/>
              </w:rPr>
            </w:pPr>
            <w:r>
              <w:rPr>
                <w:rStyle w:val="Ref"/>
                <w:rFonts w:eastAsia="Calibri"/>
                <w:color w:val="000000"/>
                <w:szCs w:val="20"/>
              </w:rPr>
              <w:t>68.70</w:t>
            </w:r>
          </w:p>
        </w:tc>
        <w:tc>
          <w:tcPr>
            <w:tcW w:w="1219" w:type="dxa"/>
          </w:tcPr>
          <w:p w14:paraId="75901C02" w14:textId="255F36BD" w:rsidR="0081429D" w:rsidRPr="004256D6" w:rsidRDefault="0081429D" w:rsidP="00322417">
            <w:pPr>
              <w:rPr>
                <w:rStyle w:val="Ref"/>
                <w:rFonts w:eastAsia="Calibri"/>
                <w:color w:val="000000"/>
                <w:szCs w:val="20"/>
              </w:rPr>
            </w:pPr>
            <w:r>
              <w:rPr>
                <w:rStyle w:val="Ref"/>
                <w:rFonts w:eastAsia="Calibri"/>
                <w:color w:val="000000"/>
                <w:szCs w:val="20"/>
              </w:rPr>
              <w:t>78.54</w:t>
            </w:r>
          </w:p>
        </w:tc>
        <w:tc>
          <w:tcPr>
            <w:tcW w:w="1219" w:type="dxa"/>
          </w:tcPr>
          <w:p w14:paraId="348F5CAF" w14:textId="3F6B8B44" w:rsidR="0081429D" w:rsidRPr="004256D6" w:rsidRDefault="0081429D" w:rsidP="00322417">
            <w:pPr>
              <w:rPr>
                <w:rStyle w:val="Ref"/>
                <w:rFonts w:eastAsia="Calibri"/>
                <w:color w:val="000000"/>
                <w:szCs w:val="20"/>
              </w:rPr>
            </w:pPr>
            <w:r>
              <w:rPr>
                <w:rStyle w:val="Ref"/>
                <w:rFonts w:eastAsia="Calibri"/>
                <w:color w:val="000000"/>
                <w:szCs w:val="20"/>
              </w:rPr>
              <w:t>76.06</w:t>
            </w:r>
          </w:p>
        </w:tc>
      </w:tr>
      <w:tr w:rsidR="0081429D" w:rsidRPr="004256D6" w14:paraId="3FA0356C" w14:textId="77777777" w:rsidTr="00322417">
        <w:tc>
          <w:tcPr>
            <w:tcW w:w="1430" w:type="dxa"/>
          </w:tcPr>
          <w:p w14:paraId="00A804B5"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II.II</w:t>
            </w:r>
          </w:p>
        </w:tc>
        <w:tc>
          <w:tcPr>
            <w:tcW w:w="1236" w:type="dxa"/>
          </w:tcPr>
          <w:p w14:paraId="48C93FBD" w14:textId="017B7FD5" w:rsidR="0081429D" w:rsidRPr="004256D6" w:rsidRDefault="00C35A93" w:rsidP="00322417">
            <w:pPr>
              <w:rPr>
                <w:rStyle w:val="Ref"/>
                <w:rFonts w:eastAsia="Calibri"/>
                <w:color w:val="000000"/>
                <w:szCs w:val="20"/>
              </w:rPr>
            </w:pPr>
            <w:r>
              <w:rPr>
                <w:rStyle w:val="Ref"/>
                <w:rFonts w:eastAsia="Calibri"/>
                <w:color w:val="000000"/>
                <w:szCs w:val="20"/>
              </w:rPr>
              <w:t>1</w:t>
            </w:r>
          </w:p>
        </w:tc>
        <w:tc>
          <w:tcPr>
            <w:tcW w:w="1237" w:type="dxa"/>
          </w:tcPr>
          <w:p w14:paraId="6B9F0109" w14:textId="08376DAC" w:rsidR="0081429D" w:rsidRPr="004256D6" w:rsidRDefault="0081429D" w:rsidP="00322417">
            <w:pPr>
              <w:rPr>
                <w:rStyle w:val="Ref"/>
                <w:rFonts w:eastAsia="Calibri"/>
                <w:color w:val="000000"/>
                <w:szCs w:val="20"/>
              </w:rPr>
            </w:pPr>
            <w:r>
              <w:rPr>
                <w:rStyle w:val="Ref"/>
                <w:rFonts w:eastAsia="Calibri"/>
                <w:color w:val="000000"/>
                <w:szCs w:val="20"/>
              </w:rPr>
              <w:t>5</w:t>
            </w:r>
          </w:p>
        </w:tc>
        <w:tc>
          <w:tcPr>
            <w:tcW w:w="1324" w:type="dxa"/>
          </w:tcPr>
          <w:p w14:paraId="4DF7B798" w14:textId="2DFCC2E3" w:rsidR="0081429D" w:rsidRPr="004256D6" w:rsidRDefault="0081429D" w:rsidP="00322417">
            <w:pPr>
              <w:rPr>
                <w:rStyle w:val="Ref"/>
                <w:rFonts w:eastAsia="Calibri"/>
                <w:color w:val="000000"/>
                <w:szCs w:val="20"/>
              </w:rPr>
            </w:pPr>
            <w:r>
              <w:rPr>
                <w:rStyle w:val="Ref"/>
                <w:rFonts w:eastAsia="Calibri"/>
                <w:color w:val="000000"/>
                <w:szCs w:val="20"/>
              </w:rPr>
              <w:t>1</w:t>
            </w:r>
          </w:p>
        </w:tc>
        <w:tc>
          <w:tcPr>
            <w:tcW w:w="1217" w:type="dxa"/>
          </w:tcPr>
          <w:p w14:paraId="334B2FD7" w14:textId="62B8794B" w:rsidR="0081429D" w:rsidRPr="004256D6" w:rsidRDefault="00C35A93" w:rsidP="00322417">
            <w:pPr>
              <w:rPr>
                <w:rStyle w:val="Ref"/>
                <w:rFonts w:eastAsia="Calibri"/>
                <w:color w:val="000000"/>
                <w:szCs w:val="20"/>
              </w:rPr>
            </w:pPr>
            <w:r>
              <w:rPr>
                <w:rStyle w:val="Ref"/>
                <w:rFonts w:eastAsia="Calibri"/>
                <w:color w:val="000000"/>
                <w:szCs w:val="20"/>
              </w:rPr>
              <w:t>0.46</w:t>
            </w:r>
          </w:p>
        </w:tc>
        <w:tc>
          <w:tcPr>
            <w:tcW w:w="1219" w:type="dxa"/>
          </w:tcPr>
          <w:p w14:paraId="66771AFA" w14:textId="08C075BF" w:rsidR="0081429D" w:rsidRPr="004256D6" w:rsidRDefault="0081429D" w:rsidP="00322417">
            <w:pPr>
              <w:rPr>
                <w:rStyle w:val="Ref"/>
                <w:rFonts w:eastAsia="Calibri"/>
                <w:color w:val="000000"/>
                <w:szCs w:val="20"/>
              </w:rPr>
            </w:pPr>
            <w:r>
              <w:rPr>
                <w:rStyle w:val="Ref"/>
                <w:rFonts w:eastAsia="Calibri"/>
                <w:color w:val="000000"/>
                <w:szCs w:val="20"/>
              </w:rPr>
              <w:t>2.14</w:t>
            </w:r>
          </w:p>
        </w:tc>
        <w:tc>
          <w:tcPr>
            <w:tcW w:w="1219" w:type="dxa"/>
          </w:tcPr>
          <w:p w14:paraId="0252DACA" w14:textId="6D09BA64" w:rsidR="0081429D" w:rsidRPr="004256D6" w:rsidRDefault="0081429D" w:rsidP="00322417">
            <w:pPr>
              <w:rPr>
                <w:rStyle w:val="Ref"/>
                <w:rFonts w:eastAsia="Calibri"/>
                <w:color w:val="000000"/>
                <w:szCs w:val="20"/>
              </w:rPr>
            </w:pPr>
            <w:r>
              <w:rPr>
                <w:rStyle w:val="Ref"/>
                <w:rFonts w:eastAsia="Calibri"/>
                <w:color w:val="000000"/>
                <w:szCs w:val="20"/>
              </w:rPr>
              <w:t>0.47</w:t>
            </w:r>
          </w:p>
        </w:tc>
      </w:tr>
      <w:tr w:rsidR="0081429D" w:rsidRPr="004256D6" w14:paraId="44D284AB" w14:textId="77777777" w:rsidTr="00322417">
        <w:tc>
          <w:tcPr>
            <w:tcW w:w="1430" w:type="dxa"/>
          </w:tcPr>
          <w:p w14:paraId="002E595E"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III</w:t>
            </w:r>
          </w:p>
        </w:tc>
        <w:tc>
          <w:tcPr>
            <w:tcW w:w="1236" w:type="dxa"/>
          </w:tcPr>
          <w:p w14:paraId="0D270933" w14:textId="77777777" w:rsidR="0081429D" w:rsidRPr="004256D6" w:rsidRDefault="0081429D" w:rsidP="00322417">
            <w:pPr>
              <w:rPr>
                <w:rStyle w:val="Ref"/>
                <w:rFonts w:eastAsia="Calibri"/>
                <w:color w:val="000000"/>
                <w:szCs w:val="20"/>
              </w:rPr>
            </w:pPr>
          </w:p>
        </w:tc>
        <w:tc>
          <w:tcPr>
            <w:tcW w:w="1237" w:type="dxa"/>
          </w:tcPr>
          <w:p w14:paraId="2D9896C9" w14:textId="77777777" w:rsidR="0081429D" w:rsidRPr="004256D6" w:rsidRDefault="0081429D" w:rsidP="00322417">
            <w:pPr>
              <w:rPr>
                <w:rStyle w:val="Ref"/>
                <w:rFonts w:eastAsia="Calibri"/>
                <w:color w:val="000000"/>
                <w:szCs w:val="20"/>
              </w:rPr>
            </w:pPr>
          </w:p>
        </w:tc>
        <w:tc>
          <w:tcPr>
            <w:tcW w:w="1324" w:type="dxa"/>
          </w:tcPr>
          <w:p w14:paraId="51DD7A25" w14:textId="77777777" w:rsidR="0081429D" w:rsidRPr="004256D6" w:rsidRDefault="0081429D" w:rsidP="00322417">
            <w:pPr>
              <w:rPr>
                <w:rStyle w:val="Ref"/>
                <w:rFonts w:eastAsia="Calibri"/>
                <w:color w:val="000000"/>
                <w:szCs w:val="20"/>
              </w:rPr>
            </w:pPr>
          </w:p>
        </w:tc>
        <w:tc>
          <w:tcPr>
            <w:tcW w:w="1217" w:type="dxa"/>
          </w:tcPr>
          <w:p w14:paraId="38A3C5EE" w14:textId="77777777" w:rsidR="0081429D" w:rsidRPr="004256D6" w:rsidRDefault="0081429D" w:rsidP="00322417">
            <w:pPr>
              <w:rPr>
                <w:rStyle w:val="Ref"/>
                <w:rFonts w:eastAsia="Calibri"/>
                <w:color w:val="000000"/>
                <w:szCs w:val="20"/>
              </w:rPr>
            </w:pPr>
          </w:p>
        </w:tc>
        <w:tc>
          <w:tcPr>
            <w:tcW w:w="1219" w:type="dxa"/>
          </w:tcPr>
          <w:p w14:paraId="7DED0D94" w14:textId="77777777" w:rsidR="0081429D" w:rsidRPr="004256D6" w:rsidRDefault="0081429D" w:rsidP="00322417">
            <w:pPr>
              <w:rPr>
                <w:rStyle w:val="Ref"/>
                <w:rFonts w:eastAsia="Calibri"/>
                <w:color w:val="000000"/>
                <w:szCs w:val="20"/>
              </w:rPr>
            </w:pPr>
          </w:p>
        </w:tc>
        <w:tc>
          <w:tcPr>
            <w:tcW w:w="1219" w:type="dxa"/>
          </w:tcPr>
          <w:p w14:paraId="0A2EE9F8" w14:textId="77777777" w:rsidR="0081429D" w:rsidRPr="004256D6" w:rsidRDefault="0081429D" w:rsidP="00322417">
            <w:pPr>
              <w:rPr>
                <w:rStyle w:val="Ref"/>
                <w:rFonts w:eastAsia="Calibri"/>
                <w:color w:val="000000"/>
                <w:szCs w:val="20"/>
              </w:rPr>
            </w:pPr>
          </w:p>
        </w:tc>
      </w:tr>
      <w:tr w:rsidR="0081429D" w:rsidRPr="004256D6" w14:paraId="14D184CA" w14:textId="77777777" w:rsidTr="00322417">
        <w:tc>
          <w:tcPr>
            <w:tcW w:w="1430" w:type="dxa"/>
          </w:tcPr>
          <w:p w14:paraId="5B386917"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Pass</w:t>
            </w:r>
          </w:p>
        </w:tc>
        <w:tc>
          <w:tcPr>
            <w:tcW w:w="1236" w:type="dxa"/>
          </w:tcPr>
          <w:p w14:paraId="1E247073" w14:textId="77777777" w:rsidR="0081429D" w:rsidRPr="004256D6" w:rsidRDefault="0081429D" w:rsidP="00322417">
            <w:pPr>
              <w:rPr>
                <w:rStyle w:val="Ref"/>
                <w:rFonts w:eastAsia="Calibri"/>
                <w:color w:val="000000"/>
                <w:szCs w:val="20"/>
              </w:rPr>
            </w:pPr>
          </w:p>
        </w:tc>
        <w:tc>
          <w:tcPr>
            <w:tcW w:w="1237" w:type="dxa"/>
          </w:tcPr>
          <w:p w14:paraId="76FA9E20" w14:textId="77777777" w:rsidR="0081429D" w:rsidRPr="004256D6" w:rsidRDefault="0081429D" w:rsidP="00322417">
            <w:pPr>
              <w:rPr>
                <w:rStyle w:val="Ref"/>
                <w:rFonts w:eastAsia="Calibri"/>
                <w:color w:val="000000"/>
                <w:szCs w:val="20"/>
              </w:rPr>
            </w:pPr>
          </w:p>
        </w:tc>
        <w:tc>
          <w:tcPr>
            <w:tcW w:w="1324" w:type="dxa"/>
          </w:tcPr>
          <w:p w14:paraId="0791343B" w14:textId="54CD5947" w:rsidR="0081429D" w:rsidRPr="004256D6" w:rsidRDefault="0081429D" w:rsidP="00322417">
            <w:pPr>
              <w:rPr>
                <w:rStyle w:val="Ref"/>
                <w:rFonts w:eastAsia="Calibri"/>
                <w:color w:val="000000"/>
                <w:szCs w:val="20"/>
              </w:rPr>
            </w:pPr>
            <w:r>
              <w:rPr>
                <w:rStyle w:val="Ref"/>
                <w:rFonts w:eastAsia="Calibri"/>
                <w:color w:val="000000"/>
                <w:szCs w:val="20"/>
              </w:rPr>
              <w:t>2</w:t>
            </w:r>
          </w:p>
        </w:tc>
        <w:tc>
          <w:tcPr>
            <w:tcW w:w="1217" w:type="dxa"/>
          </w:tcPr>
          <w:p w14:paraId="688D5F9F" w14:textId="77777777" w:rsidR="0081429D" w:rsidRPr="004256D6" w:rsidRDefault="0081429D" w:rsidP="00322417">
            <w:pPr>
              <w:rPr>
                <w:rStyle w:val="Ref"/>
                <w:rFonts w:eastAsia="Calibri"/>
                <w:color w:val="000000"/>
                <w:szCs w:val="20"/>
              </w:rPr>
            </w:pPr>
          </w:p>
        </w:tc>
        <w:tc>
          <w:tcPr>
            <w:tcW w:w="1219" w:type="dxa"/>
          </w:tcPr>
          <w:p w14:paraId="129A4CB4" w14:textId="77777777" w:rsidR="0081429D" w:rsidRPr="004256D6" w:rsidRDefault="0081429D" w:rsidP="00322417">
            <w:pPr>
              <w:rPr>
                <w:rStyle w:val="Ref"/>
                <w:rFonts w:eastAsia="Calibri"/>
                <w:color w:val="000000"/>
                <w:szCs w:val="20"/>
              </w:rPr>
            </w:pPr>
          </w:p>
        </w:tc>
        <w:tc>
          <w:tcPr>
            <w:tcW w:w="1219" w:type="dxa"/>
          </w:tcPr>
          <w:p w14:paraId="447D451F" w14:textId="32140C15" w:rsidR="0081429D" w:rsidRPr="004256D6" w:rsidRDefault="0081429D" w:rsidP="00322417">
            <w:pPr>
              <w:rPr>
                <w:rStyle w:val="Ref"/>
                <w:rFonts w:eastAsia="Calibri"/>
                <w:color w:val="000000"/>
                <w:szCs w:val="20"/>
              </w:rPr>
            </w:pPr>
            <w:r>
              <w:rPr>
                <w:rStyle w:val="Ref"/>
                <w:rFonts w:eastAsia="Calibri"/>
                <w:color w:val="000000"/>
                <w:szCs w:val="20"/>
              </w:rPr>
              <w:t>0.94</w:t>
            </w:r>
          </w:p>
        </w:tc>
      </w:tr>
      <w:tr w:rsidR="0081429D" w:rsidRPr="004256D6" w14:paraId="6851E48C" w14:textId="77777777" w:rsidTr="00322417">
        <w:tc>
          <w:tcPr>
            <w:tcW w:w="1430" w:type="dxa"/>
          </w:tcPr>
          <w:p w14:paraId="44DFFAA5" w14:textId="77777777" w:rsidR="0081429D" w:rsidRPr="004256D6" w:rsidRDefault="0081429D" w:rsidP="00322417">
            <w:pPr>
              <w:rPr>
                <w:rStyle w:val="Ref"/>
                <w:rFonts w:eastAsia="Calibri"/>
                <w:color w:val="000000"/>
                <w:szCs w:val="20"/>
              </w:rPr>
            </w:pPr>
            <w:r w:rsidRPr="004256D6">
              <w:rPr>
                <w:rStyle w:val="Ref"/>
                <w:rFonts w:eastAsia="Calibri"/>
                <w:color w:val="000000"/>
                <w:szCs w:val="20"/>
              </w:rPr>
              <w:t>Fail</w:t>
            </w:r>
          </w:p>
        </w:tc>
        <w:tc>
          <w:tcPr>
            <w:tcW w:w="1236" w:type="dxa"/>
          </w:tcPr>
          <w:p w14:paraId="5F9F6DCC" w14:textId="77777777" w:rsidR="0081429D" w:rsidRPr="004256D6" w:rsidRDefault="0081429D" w:rsidP="00322417">
            <w:pPr>
              <w:rPr>
                <w:rStyle w:val="Ref"/>
                <w:rFonts w:eastAsia="Calibri"/>
                <w:color w:val="000000"/>
                <w:szCs w:val="20"/>
              </w:rPr>
            </w:pPr>
          </w:p>
        </w:tc>
        <w:tc>
          <w:tcPr>
            <w:tcW w:w="1237" w:type="dxa"/>
          </w:tcPr>
          <w:p w14:paraId="02440D7F" w14:textId="51771342" w:rsidR="0081429D" w:rsidRPr="004256D6" w:rsidRDefault="0081429D" w:rsidP="00322417">
            <w:pPr>
              <w:rPr>
                <w:rStyle w:val="Ref"/>
                <w:rFonts w:eastAsia="Calibri"/>
                <w:color w:val="000000"/>
                <w:szCs w:val="20"/>
              </w:rPr>
            </w:pPr>
            <w:r>
              <w:rPr>
                <w:rStyle w:val="Ref"/>
                <w:rFonts w:eastAsia="Calibri"/>
                <w:color w:val="000000"/>
                <w:szCs w:val="20"/>
              </w:rPr>
              <w:t>2</w:t>
            </w:r>
          </w:p>
        </w:tc>
        <w:tc>
          <w:tcPr>
            <w:tcW w:w="1324" w:type="dxa"/>
          </w:tcPr>
          <w:p w14:paraId="07C66136" w14:textId="77777777" w:rsidR="0081429D" w:rsidRPr="004256D6" w:rsidRDefault="0081429D" w:rsidP="00322417">
            <w:pPr>
              <w:rPr>
                <w:rStyle w:val="Ref"/>
                <w:rFonts w:eastAsia="Calibri"/>
                <w:color w:val="000000"/>
                <w:szCs w:val="20"/>
              </w:rPr>
            </w:pPr>
          </w:p>
        </w:tc>
        <w:tc>
          <w:tcPr>
            <w:tcW w:w="1217" w:type="dxa"/>
          </w:tcPr>
          <w:p w14:paraId="608BFE34" w14:textId="3530638A" w:rsidR="0081429D" w:rsidRPr="004256D6" w:rsidRDefault="0081429D" w:rsidP="00322417">
            <w:pPr>
              <w:rPr>
                <w:rStyle w:val="Ref"/>
                <w:rFonts w:eastAsia="Calibri"/>
                <w:color w:val="000000"/>
                <w:szCs w:val="20"/>
              </w:rPr>
            </w:pPr>
          </w:p>
        </w:tc>
        <w:tc>
          <w:tcPr>
            <w:tcW w:w="1219" w:type="dxa"/>
          </w:tcPr>
          <w:p w14:paraId="75A3FA74" w14:textId="66CEDD92" w:rsidR="0081429D" w:rsidRPr="004256D6" w:rsidRDefault="0081429D" w:rsidP="00322417">
            <w:pPr>
              <w:rPr>
                <w:rStyle w:val="Ref"/>
                <w:rFonts w:eastAsia="Calibri"/>
                <w:color w:val="000000"/>
                <w:szCs w:val="20"/>
              </w:rPr>
            </w:pPr>
            <w:r>
              <w:rPr>
                <w:rStyle w:val="Ref"/>
                <w:rFonts w:eastAsia="Calibri"/>
                <w:color w:val="000000"/>
                <w:szCs w:val="20"/>
              </w:rPr>
              <w:t>0.85</w:t>
            </w:r>
          </w:p>
        </w:tc>
        <w:tc>
          <w:tcPr>
            <w:tcW w:w="1219" w:type="dxa"/>
          </w:tcPr>
          <w:p w14:paraId="2ECC2270" w14:textId="77777777" w:rsidR="0081429D" w:rsidRPr="004256D6" w:rsidRDefault="0081429D" w:rsidP="00322417">
            <w:pPr>
              <w:rPr>
                <w:rStyle w:val="Ref"/>
                <w:rFonts w:eastAsia="Calibri"/>
                <w:color w:val="000000"/>
                <w:szCs w:val="20"/>
              </w:rPr>
            </w:pPr>
          </w:p>
        </w:tc>
      </w:tr>
    </w:tbl>
    <w:p w14:paraId="722735DE" w14:textId="77777777" w:rsidR="0081429D" w:rsidRPr="004256D6" w:rsidRDefault="0081429D" w:rsidP="00131FDC">
      <w:pPr>
        <w:rPr>
          <w:rStyle w:val="Ref"/>
          <w:rFonts w:eastAsia="Calibri"/>
          <w:color w:val="000000"/>
          <w:szCs w:val="20"/>
        </w:rPr>
      </w:pPr>
    </w:p>
    <w:p w14:paraId="72266D55" w14:textId="46205DF1" w:rsidR="00131FDC" w:rsidRDefault="00131FDC" w:rsidP="00131FDC">
      <w:pPr>
        <w:rPr>
          <w:rStyle w:val="Ref"/>
          <w:rFonts w:eastAsia="Calibri"/>
          <w:color w:val="000000"/>
          <w:szCs w:val="20"/>
        </w:rPr>
      </w:pPr>
      <w:r w:rsidRPr="004256D6">
        <w:rPr>
          <w:rStyle w:val="Ref"/>
          <w:rFonts w:eastAsia="Calibri"/>
          <w:color w:val="000000"/>
          <w:szCs w:val="20"/>
        </w:rPr>
        <w:tab/>
        <w:t>(b)</w:t>
      </w:r>
      <w:r w:rsidRPr="004256D6">
        <w:rPr>
          <w:rStyle w:val="Ref"/>
          <w:rFonts w:eastAsia="Calibri"/>
          <w:color w:val="000000"/>
          <w:szCs w:val="20"/>
        </w:rPr>
        <w:tab/>
        <w:t xml:space="preserve">Unclassified Examinations </w:t>
      </w:r>
    </w:p>
    <w:p w14:paraId="62C0B7FF" w14:textId="31590FBC" w:rsidR="0081429D" w:rsidRPr="004256D6" w:rsidRDefault="0081429D" w:rsidP="00131FDC">
      <w:pPr>
        <w:rPr>
          <w:rStyle w:val="Ref"/>
          <w:rFonts w:eastAsia="Calibri"/>
          <w:color w:val="000000"/>
          <w:szCs w:val="20"/>
        </w:rPr>
      </w:pPr>
      <w:r>
        <w:rPr>
          <w:rStyle w:val="Ref"/>
          <w:rFonts w:eastAsia="Calibri"/>
          <w:color w:val="000000"/>
          <w:szCs w:val="20"/>
        </w:rPr>
        <w:t>Diploma in Legal Studies</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146"/>
        <w:gridCol w:w="1229"/>
        <w:gridCol w:w="1281"/>
        <w:gridCol w:w="1276"/>
        <w:gridCol w:w="1134"/>
        <w:gridCol w:w="1228"/>
      </w:tblGrid>
      <w:tr w:rsidR="00131FDC" w:rsidRPr="004256D6" w14:paraId="2BD669B3" w14:textId="77777777" w:rsidTr="00511E38">
        <w:trPr>
          <w:trHeight w:val="498"/>
        </w:trPr>
        <w:tc>
          <w:tcPr>
            <w:tcW w:w="1555" w:type="dxa"/>
          </w:tcPr>
          <w:p w14:paraId="473D5961"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Category</w:t>
            </w:r>
          </w:p>
        </w:tc>
        <w:tc>
          <w:tcPr>
            <w:tcW w:w="1146" w:type="dxa"/>
            <w:tcBorders>
              <w:right w:val="nil"/>
            </w:tcBorders>
          </w:tcPr>
          <w:p w14:paraId="179AAFB0"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Number</w:t>
            </w:r>
          </w:p>
        </w:tc>
        <w:tc>
          <w:tcPr>
            <w:tcW w:w="1229" w:type="dxa"/>
            <w:tcBorders>
              <w:left w:val="nil"/>
              <w:right w:val="nil"/>
            </w:tcBorders>
          </w:tcPr>
          <w:p w14:paraId="2452B76D" w14:textId="77777777" w:rsidR="00131FDC" w:rsidRPr="004256D6" w:rsidRDefault="00131FDC" w:rsidP="00322417">
            <w:pPr>
              <w:rPr>
                <w:rStyle w:val="Ref"/>
                <w:rFonts w:eastAsia="Calibri"/>
                <w:color w:val="000000"/>
                <w:szCs w:val="20"/>
              </w:rPr>
            </w:pPr>
          </w:p>
        </w:tc>
        <w:tc>
          <w:tcPr>
            <w:tcW w:w="1281" w:type="dxa"/>
            <w:tcBorders>
              <w:left w:val="nil"/>
            </w:tcBorders>
          </w:tcPr>
          <w:p w14:paraId="145384D3" w14:textId="77777777" w:rsidR="00131FDC" w:rsidRPr="004256D6" w:rsidRDefault="00131FDC" w:rsidP="00322417">
            <w:pPr>
              <w:rPr>
                <w:rStyle w:val="Ref"/>
                <w:rFonts w:eastAsia="Calibri"/>
                <w:color w:val="000000"/>
                <w:szCs w:val="20"/>
              </w:rPr>
            </w:pPr>
          </w:p>
        </w:tc>
        <w:tc>
          <w:tcPr>
            <w:tcW w:w="3638" w:type="dxa"/>
            <w:gridSpan w:val="3"/>
          </w:tcPr>
          <w:p w14:paraId="631B5D47" w14:textId="77777777" w:rsidR="00131FDC" w:rsidRPr="004256D6" w:rsidRDefault="00131FDC" w:rsidP="00322417">
            <w:pPr>
              <w:rPr>
                <w:rStyle w:val="Ref"/>
                <w:rFonts w:eastAsia="Calibri"/>
                <w:color w:val="000000"/>
                <w:szCs w:val="22"/>
              </w:rPr>
            </w:pPr>
            <w:r w:rsidRPr="004256D6">
              <w:rPr>
                <w:rStyle w:val="Ref"/>
                <w:rFonts w:eastAsia="Calibri"/>
                <w:color w:val="000000"/>
                <w:szCs w:val="22"/>
              </w:rPr>
              <w:t>Percentage (%)</w:t>
            </w:r>
          </w:p>
        </w:tc>
      </w:tr>
      <w:tr w:rsidR="004256D6" w:rsidRPr="004256D6" w14:paraId="04D849E6" w14:textId="77777777" w:rsidTr="00511E38">
        <w:trPr>
          <w:trHeight w:val="498"/>
        </w:trPr>
        <w:tc>
          <w:tcPr>
            <w:tcW w:w="1555" w:type="dxa"/>
          </w:tcPr>
          <w:p w14:paraId="5BA1C9FF" w14:textId="77777777" w:rsidR="004256D6" w:rsidRPr="004256D6" w:rsidRDefault="004256D6" w:rsidP="004256D6">
            <w:pPr>
              <w:rPr>
                <w:rStyle w:val="Ref"/>
                <w:rFonts w:eastAsia="Calibri"/>
                <w:color w:val="000000"/>
                <w:szCs w:val="20"/>
              </w:rPr>
            </w:pPr>
          </w:p>
        </w:tc>
        <w:tc>
          <w:tcPr>
            <w:tcW w:w="1146" w:type="dxa"/>
          </w:tcPr>
          <w:p w14:paraId="68CF30E6" w14:textId="5CC59A5A" w:rsidR="004256D6" w:rsidRPr="004256D6" w:rsidRDefault="004256D6" w:rsidP="004256D6">
            <w:pPr>
              <w:rPr>
                <w:rStyle w:val="Ref"/>
                <w:rFonts w:eastAsia="Calibri"/>
                <w:color w:val="000000"/>
                <w:szCs w:val="20"/>
              </w:rPr>
            </w:pPr>
            <w:r w:rsidRPr="004256D6">
              <w:rPr>
                <w:rStyle w:val="Ref"/>
                <w:rFonts w:eastAsia="Calibri"/>
                <w:color w:val="000000"/>
                <w:szCs w:val="20"/>
              </w:rPr>
              <w:t>2019/20</w:t>
            </w:r>
          </w:p>
        </w:tc>
        <w:tc>
          <w:tcPr>
            <w:tcW w:w="1229" w:type="dxa"/>
          </w:tcPr>
          <w:p w14:paraId="6F93CBA8" w14:textId="7EA4668A" w:rsidR="004256D6" w:rsidRPr="004256D6" w:rsidRDefault="004256D6" w:rsidP="004256D6">
            <w:pPr>
              <w:rPr>
                <w:rStyle w:val="Ref"/>
                <w:rFonts w:eastAsia="Calibri"/>
                <w:color w:val="000000"/>
                <w:szCs w:val="20"/>
              </w:rPr>
            </w:pPr>
            <w:r w:rsidRPr="004256D6">
              <w:rPr>
                <w:rStyle w:val="Ref"/>
                <w:rFonts w:eastAsia="Calibri"/>
                <w:color w:val="000000"/>
                <w:szCs w:val="20"/>
              </w:rPr>
              <w:t>2018/19</w:t>
            </w:r>
          </w:p>
        </w:tc>
        <w:tc>
          <w:tcPr>
            <w:tcW w:w="1281" w:type="dxa"/>
          </w:tcPr>
          <w:p w14:paraId="13F8DFA6" w14:textId="5C80D886" w:rsidR="004256D6" w:rsidRPr="004256D6" w:rsidRDefault="004256D6" w:rsidP="004256D6">
            <w:pPr>
              <w:rPr>
                <w:rStyle w:val="Ref"/>
                <w:rFonts w:eastAsia="Calibri"/>
                <w:color w:val="000000"/>
                <w:szCs w:val="20"/>
              </w:rPr>
            </w:pPr>
            <w:r w:rsidRPr="004256D6">
              <w:rPr>
                <w:rStyle w:val="Ref"/>
                <w:rFonts w:eastAsia="Calibri"/>
                <w:color w:val="000000"/>
                <w:szCs w:val="20"/>
              </w:rPr>
              <w:t>2017/18</w:t>
            </w:r>
          </w:p>
        </w:tc>
        <w:tc>
          <w:tcPr>
            <w:tcW w:w="1276" w:type="dxa"/>
          </w:tcPr>
          <w:p w14:paraId="4DA8A145" w14:textId="58E6DA7B" w:rsidR="004256D6" w:rsidRPr="004256D6" w:rsidRDefault="004256D6" w:rsidP="004256D6">
            <w:pPr>
              <w:rPr>
                <w:rStyle w:val="Ref"/>
                <w:rFonts w:eastAsia="Calibri"/>
                <w:color w:val="000000"/>
                <w:szCs w:val="20"/>
              </w:rPr>
            </w:pPr>
            <w:r w:rsidRPr="004256D6">
              <w:rPr>
                <w:rStyle w:val="Ref"/>
                <w:rFonts w:eastAsia="Calibri"/>
                <w:color w:val="000000"/>
                <w:szCs w:val="20"/>
              </w:rPr>
              <w:t>2019/20</w:t>
            </w:r>
          </w:p>
        </w:tc>
        <w:tc>
          <w:tcPr>
            <w:tcW w:w="1134" w:type="dxa"/>
          </w:tcPr>
          <w:p w14:paraId="593FB639" w14:textId="7CEB3224" w:rsidR="004256D6" w:rsidRPr="004256D6" w:rsidRDefault="004256D6" w:rsidP="004256D6">
            <w:pPr>
              <w:rPr>
                <w:rStyle w:val="Ref"/>
                <w:rFonts w:eastAsia="Calibri"/>
                <w:color w:val="000000"/>
                <w:szCs w:val="20"/>
              </w:rPr>
            </w:pPr>
            <w:r w:rsidRPr="004256D6">
              <w:rPr>
                <w:rStyle w:val="Ref"/>
                <w:rFonts w:eastAsia="Calibri"/>
                <w:color w:val="000000"/>
                <w:szCs w:val="20"/>
              </w:rPr>
              <w:t>2018/19</w:t>
            </w:r>
          </w:p>
        </w:tc>
        <w:tc>
          <w:tcPr>
            <w:tcW w:w="1228" w:type="dxa"/>
          </w:tcPr>
          <w:p w14:paraId="7C3E8098" w14:textId="31615A07" w:rsidR="004256D6" w:rsidRPr="004256D6" w:rsidRDefault="004256D6" w:rsidP="004256D6">
            <w:pPr>
              <w:rPr>
                <w:rStyle w:val="Ref"/>
                <w:rFonts w:eastAsia="Calibri"/>
                <w:color w:val="000000"/>
                <w:szCs w:val="20"/>
              </w:rPr>
            </w:pPr>
            <w:r w:rsidRPr="004256D6">
              <w:rPr>
                <w:rStyle w:val="Ref"/>
                <w:rFonts w:eastAsia="Calibri"/>
                <w:color w:val="000000"/>
                <w:szCs w:val="20"/>
              </w:rPr>
              <w:t>2017/18</w:t>
            </w:r>
          </w:p>
        </w:tc>
      </w:tr>
      <w:tr w:rsidR="00131FDC" w:rsidRPr="004256D6" w14:paraId="1A45CBDC" w14:textId="77777777" w:rsidTr="00511E38">
        <w:trPr>
          <w:trHeight w:val="498"/>
        </w:trPr>
        <w:tc>
          <w:tcPr>
            <w:tcW w:w="1555" w:type="dxa"/>
          </w:tcPr>
          <w:p w14:paraId="7897A7A3"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Distinction</w:t>
            </w:r>
          </w:p>
        </w:tc>
        <w:tc>
          <w:tcPr>
            <w:tcW w:w="1146" w:type="dxa"/>
          </w:tcPr>
          <w:p w14:paraId="6D07030F" w14:textId="56CE26C7" w:rsidR="00131FDC" w:rsidRPr="004256D6" w:rsidRDefault="00FE130B" w:rsidP="00322417">
            <w:pPr>
              <w:rPr>
                <w:rStyle w:val="Ref"/>
                <w:rFonts w:eastAsia="Calibri"/>
                <w:color w:val="000000"/>
                <w:szCs w:val="20"/>
              </w:rPr>
            </w:pPr>
            <w:r>
              <w:rPr>
                <w:rStyle w:val="Ref"/>
                <w:rFonts w:eastAsia="Calibri"/>
                <w:color w:val="000000"/>
                <w:szCs w:val="20"/>
              </w:rPr>
              <w:t>11</w:t>
            </w:r>
          </w:p>
        </w:tc>
        <w:tc>
          <w:tcPr>
            <w:tcW w:w="1229" w:type="dxa"/>
          </w:tcPr>
          <w:p w14:paraId="410D578D" w14:textId="68B81190" w:rsidR="00131FDC" w:rsidRPr="004256D6" w:rsidRDefault="0081429D" w:rsidP="00322417">
            <w:pPr>
              <w:rPr>
                <w:rStyle w:val="Ref"/>
                <w:rFonts w:eastAsia="Calibri"/>
                <w:color w:val="000000"/>
                <w:szCs w:val="20"/>
              </w:rPr>
            </w:pPr>
            <w:r>
              <w:rPr>
                <w:rStyle w:val="Ref"/>
                <w:rFonts w:eastAsia="Calibri"/>
                <w:color w:val="000000"/>
                <w:szCs w:val="20"/>
              </w:rPr>
              <w:t>7</w:t>
            </w:r>
          </w:p>
        </w:tc>
        <w:tc>
          <w:tcPr>
            <w:tcW w:w="1281" w:type="dxa"/>
          </w:tcPr>
          <w:p w14:paraId="37E494DD" w14:textId="7886B97F" w:rsidR="00131FDC" w:rsidRPr="004256D6" w:rsidRDefault="0081429D" w:rsidP="00322417">
            <w:pPr>
              <w:rPr>
                <w:rStyle w:val="Ref"/>
                <w:rFonts w:eastAsia="Calibri"/>
                <w:color w:val="000000"/>
                <w:szCs w:val="20"/>
              </w:rPr>
            </w:pPr>
            <w:r>
              <w:rPr>
                <w:rStyle w:val="Ref"/>
                <w:rFonts w:eastAsia="Calibri"/>
                <w:color w:val="000000"/>
                <w:szCs w:val="20"/>
              </w:rPr>
              <w:t>7</w:t>
            </w:r>
          </w:p>
        </w:tc>
        <w:tc>
          <w:tcPr>
            <w:tcW w:w="1276" w:type="dxa"/>
          </w:tcPr>
          <w:p w14:paraId="572FB78D" w14:textId="2A6F0E00" w:rsidR="00131FDC" w:rsidRPr="004256D6" w:rsidRDefault="00E1593F" w:rsidP="00322417">
            <w:pPr>
              <w:rPr>
                <w:rStyle w:val="Ref"/>
                <w:rFonts w:eastAsia="Calibri"/>
                <w:color w:val="000000"/>
                <w:szCs w:val="20"/>
              </w:rPr>
            </w:pPr>
            <w:r>
              <w:rPr>
                <w:rStyle w:val="Ref"/>
                <w:rFonts w:eastAsia="Calibri"/>
                <w:color w:val="000000"/>
                <w:szCs w:val="20"/>
              </w:rPr>
              <w:t>36.67</w:t>
            </w:r>
          </w:p>
        </w:tc>
        <w:tc>
          <w:tcPr>
            <w:tcW w:w="1134" w:type="dxa"/>
          </w:tcPr>
          <w:p w14:paraId="5CA1912F" w14:textId="30AE682F" w:rsidR="00131FDC" w:rsidRPr="004256D6" w:rsidRDefault="0081429D" w:rsidP="00322417">
            <w:pPr>
              <w:rPr>
                <w:rStyle w:val="Ref"/>
                <w:rFonts w:eastAsia="Calibri"/>
                <w:color w:val="000000"/>
                <w:szCs w:val="20"/>
              </w:rPr>
            </w:pPr>
            <w:r>
              <w:rPr>
                <w:rStyle w:val="Ref"/>
                <w:rFonts w:eastAsia="Calibri"/>
                <w:color w:val="000000"/>
                <w:szCs w:val="20"/>
              </w:rPr>
              <w:t>25.92</w:t>
            </w:r>
          </w:p>
        </w:tc>
        <w:tc>
          <w:tcPr>
            <w:tcW w:w="1228" w:type="dxa"/>
          </w:tcPr>
          <w:p w14:paraId="3D4BA6AB" w14:textId="6C8FA7FE" w:rsidR="00131FDC" w:rsidRPr="004256D6" w:rsidRDefault="0081429D" w:rsidP="00322417">
            <w:pPr>
              <w:rPr>
                <w:rStyle w:val="Ref"/>
                <w:rFonts w:eastAsia="Calibri"/>
                <w:color w:val="000000"/>
                <w:szCs w:val="20"/>
              </w:rPr>
            </w:pPr>
            <w:r>
              <w:rPr>
                <w:rStyle w:val="Ref"/>
                <w:rFonts w:eastAsia="Calibri"/>
                <w:color w:val="000000"/>
                <w:szCs w:val="20"/>
              </w:rPr>
              <w:t>20.59</w:t>
            </w:r>
          </w:p>
        </w:tc>
      </w:tr>
      <w:tr w:rsidR="00131FDC" w:rsidRPr="004256D6" w14:paraId="51EE14DD" w14:textId="77777777" w:rsidTr="00511E38">
        <w:trPr>
          <w:trHeight w:val="483"/>
        </w:trPr>
        <w:tc>
          <w:tcPr>
            <w:tcW w:w="1555" w:type="dxa"/>
          </w:tcPr>
          <w:p w14:paraId="6244CCCA"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Pass</w:t>
            </w:r>
          </w:p>
        </w:tc>
        <w:tc>
          <w:tcPr>
            <w:tcW w:w="1146" w:type="dxa"/>
          </w:tcPr>
          <w:p w14:paraId="0471547A" w14:textId="07204CB2" w:rsidR="00131FDC" w:rsidRPr="004256D6" w:rsidRDefault="00FE130B" w:rsidP="00322417">
            <w:pPr>
              <w:rPr>
                <w:rStyle w:val="Ref"/>
                <w:rFonts w:eastAsia="Calibri"/>
                <w:color w:val="000000"/>
                <w:szCs w:val="20"/>
              </w:rPr>
            </w:pPr>
            <w:r>
              <w:rPr>
                <w:rStyle w:val="Ref"/>
                <w:rFonts w:eastAsia="Calibri"/>
                <w:color w:val="000000"/>
                <w:szCs w:val="20"/>
              </w:rPr>
              <w:t>19</w:t>
            </w:r>
          </w:p>
        </w:tc>
        <w:tc>
          <w:tcPr>
            <w:tcW w:w="1229" w:type="dxa"/>
          </w:tcPr>
          <w:p w14:paraId="0AC27FCD" w14:textId="528EAF4A" w:rsidR="00131FDC" w:rsidRPr="004256D6" w:rsidRDefault="0081429D" w:rsidP="00322417">
            <w:pPr>
              <w:rPr>
                <w:rStyle w:val="Ref"/>
                <w:rFonts w:eastAsia="Calibri"/>
                <w:color w:val="000000"/>
                <w:szCs w:val="20"/>
              </w:rPr>
            </w:pPr>
            <w:r>
              <w:rPr>
                <w:rStyle w:val="Ref"/>
                <w:rFonts w:eastAsia="Calibri"/>
                <w:color w:val="000000"/>
                <w:szCs w:val="20"/>
              </w:rPr>
              <w:t>20</w:t>
            </w:r>
          </w:p>
        </w:tc>
        <w:tc>
          <w:tcPr>
            <w:tcW w:w="1281" w:type="dxa"/>
          </w:tcPr>
          <w:p w14:paraId="62AD86C8" w14:textId="39C0CCDF" w:rsidR="00131FDC" w:rsidRPr="004256D6" w:rsidRDefault="0081429D" w:rsidP="00322417">
            <w:pPr>
              <w:rPr>
                <w:rStyle w:val="Ref"/>
                <w:rFonts w:eastAsia="Calibri"/>
                <w:color w:val="000000"/>
                <w:szCs w:val="20"/>
              </w:rPr>
            </w:pPr>
            <w:r>
              <w:rPr>
                <w:rStyle w:val="Ref"/>
                <w:rFonts w:eastAsia="Calibri"/>
                <w:color w:val="000000"/>
                <w:szCs w:val="20"/>
              </w:rPr>
              <w:t>27</w:t>
            </w:r>
          </w:p>
        </w:tc>
        <w:tc>
          <w:tcPr>
            <w:tcW w:w="1276" w:type="dxa"/>
          </w:tcPr>
          <w:p w14:paraId="3618800C" w14:textId="208B6085" w:rsidR="00131FDC" w:rsidRPr="004256D6" w:rsidRDefault="00E1593F" w:rsidP="00322417">
            <w:pPr>
              <w:rPr>
                <w:rStyle w:val="Ref"/>
                <w:rFonts w:eastAsia="Calibri"/>
                <w:color w:val="000000"/>
                <w:szCs w:val="20"/>
              </w:rPr>
            </w:pPr>
            <w:r>
              <w:rPr>
                <w:rStyle w:val="Ref"/>
                <w:rFonts w:eastAsia="Calibri"/>
                <w:color w:val="000000"/>
                <w:szCs w:val="20"/>
              </w:rPr>
              <w:t>63.33</w:t>
            </w:r>
          </w:p>
        </w:tc>
        <w:tc>
          <w:tcPr>
            <w:tcW w:w="1134" w:type="dxa"/>
          </w:tcPr>
          <w:p w14:paraId="64F51A95" w14:textId="5855C205" w:rsidR="00131FDC" w:rsidRPr="004256D6" w:rsidRDefault="0081429D" w:rsidP="00322417">
            <w:pPr>
              <w:rPr>
                <w:rStyle w:val="Ref"/>
                <w:rFonts w:eastAsia="Calibri"/>
                <w:color w:val="000000"/>
                <w:szCs w:val="20"/>
              </w:rPr>
            </w:pPr>
            <w:r>
              <w:rPr>
                <w:rStyle w:val="Ref"/>
                <w:rFonts w:eastAsia="Calibri"/>
                <w:color w:val="000000"/>
                <w:szCs w:val="20"/>
              </w:rPr>
              <w:t>74.07</w:t>
            </w:r>
          </w:p>
        </w:tc>
        <w:tc>
          <w:tcPr>
            <w:tcW w:w="1228" w:type="dxa"/>
          </w:tcPr>
          <w:p w14:paraId="2A09B83F" w14:textId="1CA3CBDC" w:rsidR="00131FDC" w:rsidRPr="004256D6" w:rsidRDefault="0081429D" w:rsidP="00322417">
            <w:pPr>
              <w:rPr>
                <w:rStyle w:val="Ref"/>
                <w:rFonts w:eastAsia="Calibri"/>
                <w:color w:val="000000"/>
                <w:szCs w:val="20"/>
              </w:rPr>
            </w:pPr>
            <w:r>
              <w:rPr>
                <w:rStyle w:val="Ref"/>
                <w:rFonts w:eastAsia="Calibri"/>
                <w:color w:val="000000"/>
                <w:szCs w:val="20"/>
              </w:rPr>
              <w:t>79.41</w:t>
            </w:r>
          </w:p>
        </w:tc>
      </w:tr>
      <w:tr w:rsidR="00131FDC" w:rsidRPr="004256D6" w14:paraId="663C1B48" w14:textId="77777777" w:rsidTr="00511E38">
        <w:trPr>
          <w:trHeight w:val="513"/>
        </w:trPr>
        <w:tc>
          <w:tcPr>
            <w:tcW w:w="1555" w:type="dxa"/>
          </w:tcPr>
          <w:p w14:paraId="35A3432B" w14:textId="77777777" w:rsidR="00131FDC" w:rsidRPr="004256D6" w:rsidRDefault="00131FDC" w:rsidP="00322417">
            <w:pPr>
              <w:rPr>
                <w:rStyle w:val="Ref"/>
                <w:rFonts w:eastAsia="Calibri"/>
                <w:color w:val="000000"/>
                <w:szCs w:val="20"/>
              </w:rPr>
            </w:pPr>
            <w:r w:rsidRPr="004256D6">
              <w:rPr>
                <w:rStyle w:val="Ref"/>
                <w:rFonts w:eastAsia="Calibri"/>
                <w:color w:val="000000"/>
                <w:szCs w:val="20"/>
              </w:rPr>
              <w:t>Fail</w:t>
            </w:r>
          </w:p>
        </w:tc>
        <w:tc>
          <w:tcPr>
            <w:tcW w:w="1146" w:type="dxa"/>
          </w:tcPr>
          <w:p w14:paraId="53549D24" w14:textId="77777777" w:rsidR="00131FDC" w:rsidRPr="004256D6" w:rsidRDefault="00131FDC" w:rsidP="00322417">
            <w:pPr>
              <w:rPr>
                <w:rStyle w:val="Ref"/>
                <w:rFonts w:eastAsia="Calibri"/>
                <w:color w:val="000000"/>
                <w:szCs w:val="20"/>
              </w:rPr>
            </w:pPr>
          </w:p>
        </w:tc>
        <w:tc>
          <w:tcPr>
            <w:tcW w:w="1229" w:type="dxa"/>
          </w:tcPr>
          <w:p w14:paraId="701D43B8" w14:textId="32C5C8E0" w:rsidR="00131FDC" w:rsidRPr="004256D6" w:rsidRDefault="00131FDC" w:rsidP="00322417">
            <w:pPr>
              <w:rPr>
                <w:rStyle w:val="Ref"/>
                <w:rFonts w:eastAsia="Calibri"/>
                <w:color w:val="000000"/>
                <w:szCs w:val="20"/>
              </w:rPr>
            </w:pPr>
          </w:p>
        </w:tc>
        <w:tc>
          <w:tcPr>
            <w:tcW w:w="1281" w:type="dxa"/>
          </w:tcPr>
          <w:p w14:paraId="2DBBDB49" w14:textId="4F8169D4" w:rsidR="00131FDC" w:rsidRPr="004256D6" w:rsidRDefault="00131FDC" w:rsidP="00322417">
            <w:pPr>
              <w:rPr>
                <w:rStyle w:val="Ref"/>
                <w:rFonts w:eastAsia="Calibri"/>
                <w:color w:val="000000"/>
                <w:szCs w:val="20"/>
              </w:rPr>
            </w:pPr>
          </w:p>
        </w:tc>
        <w:tc>
          <w:tcPr>
            <w:tcW w:w="1276" w:type="dxa"/>
          </w:tcPr>
          <w:p w14:paraId="1AD859A9" w14:textId="77777777" w:rsidR="00131FDC" w:rsidRPr="004256D6" w:rsidRDefault="00131FDC" w:rsidP="00322417">
            <w:pPr>
              <w:rPr>
                <w:rStyle w:val="Ref"/>
                <w:rFonts w:eastAsia="Calibri"/>
                <w:color w:val="000000"/>
                <w:szCs w:val="20"/>
              </w:rPr>
            </w:pPr>
          </w:p>
        </w:tc>
        <w:tc>
          <w:tcPr>
            <w:tcW w:w="1134" w:type="dxa"/>
          </w:tcPr>
          <w:p w14:paraId="78F46F93" w14:textId="150DDA6E" w:rsidR="00131FDC" w:rsidRPr="004256D6" w:rsidRDefault="00131FDC" w:rsidP="00322417">
            <w:pPr>
              <w:rPr>
                <w:rStyle w:val="Ref"/>
                <w:rFonts w:eastAsia="Calibri"/>
                <w:color w:val="000000"/>
                <w:szCs w:val="20"/>
              </w:rPr>
            </w:pPr>
          </w:p>
        </w:tc>
        <w:tc>
          <w:tcPr>
            <w:tcW w:w="1228" w:type="dxa"/>
          </w:tcPr>
          <w:p w14:paraId="546949AC" w14:textId="21820BDD" w:rsidR="00131FDC" w:rsidRPr="004256D6" w:rsidRDefault="00131FDC" w:rsidP="00322417">
            <w:pPr>
              <w:rPr>
                <w:rStyle w:val="Ref"/>
                <w:rFonts w:eastAsia="Calibri"/>
                <w:color w:val="000000"/>
                <w:szCs w:val="20"/>
              </w:rPr>
            </w:pPr>
          </w:p>
        </w:tc>
      </w:tr>
    </w:tbl>
    <w:p w14:paraId="2AEF8428" w14:textId="77777777" w:rsidR="00131FDC" w:rsidRPr="004256D6" w:rsidRDefault="00131FDC" w:rsidP="00131FDC">
      <w:pPr>
        <w:rPr>
          <w:rFonts w:cs="Arial"/>
          <w:color w:val="000000"/>
        </w:rPr>
      </w:pPr>
    </w:p>
    <w:p w14:paraId="41ADB4B1" w14:textId="77777777" w:rsidR="00131FDC" w:rsidRPr="004256D6" w:rsidRDefault="00131FDC" w:rsidP="00131FDC">
      <w:pPr>
        <w:keepNext/>
        <w:spacing w:after="0"/>
        <w:rPr>
          <w:rStyle w:val="Ref"/>
          <w:rFonts w:eastAsia="Calibri"/>
          <w:b/>
          <w:bCs/>
          <w:color w:val="000000"/>
          <w:szCs w:val="20"/>
        </w:rPr>
      </w:pPr>
      <w:r w:rsidRPr="004256D6">
        <w:rPr>
          <w:rStyle w:val="Ref"/>
          <w:rFonts w:eastAsia="Calibri"/>
          <w:color w:val="000000"/>
          <w:szCs w:val="20"/>
        </w:rPr>
        <w:t>(2)</w:t>
      </w:r>
      <w:r w:rsidRPr="004256D6">
        <w:rPr>
          <w:rStyle w:val="Ref"/>
          <w:rFonts w:eastAsia="Calibri"/>
          <w:color w:val="000000"/>
          <w:szCs w:val="20"/>
        </w:rPr>
        <w:tab/>
        <w:t xml:space="preserve">If </w:t>
      </w:r>
      <w:proofErr w:type="spellStart"/>
      <w:r w:rsidRPr="004256D6">
        <w:rPr>
          <w:rStyle w:val="Ref"/>
          <w:rFonts w:eastAsia="Calibri"/>
          <w:color w:val="000000"/>
          <w:szCs w:val="20"/>
        </w:rPr>
        <w:t>vivas</w:t>
      </w:r>
      <w:proofErr w:type="spellEnd"/>
      <w:r w:rsidRPr="004256D6">
        <w:rPr>
          <w:rStyle w:val="Ref"/>
          <w:rFonts w:eastAsia="Calibri"/>
          <w:color w:val="000000"/>
          <w:szCs w:val="20"/>
        </w:rPr>
        <w:t xml:space="preserve"> are used:</w:t>
      </w:r>
    </w:p>
    <w:p w14:paraId="246E501C" w14:textId="2E5E3C8D" w:rsidR="0081429D" w:rsidRPr="0081429D" w:rsidRDefault="0081429D" w:rsidP="0081429D">
      <w:pPr>
        <w:rPr>
          <w:szCs w:val="22"/>
        </w:rPr>
      </w:pPr>
      <w:r>
        <w:rPr>
          <w:sz w:val="20"/>
          <w:szCs w:val="20"/>
        </w:rPr>
        <w:br/>
      </w:r>
      <w:proofErr w:type="spellStart"/>
      <w:r w:rsidRPr="0081429D">
        <w:rPr>
          <w:szCs w:val="22"/>
        </w:rPr>
        <w:t>Vivas</w:t>
      </w:r>
      <w:proofErr w:type="spellEnd"/>
      <w:r w:rsidRPr="0081429D">
        <w:rPr>
          <w:szCs w:val="22"/>
        </w:rPr>
        <w:t xml:space="preserve"> are no longer used in the Final Honour School. </w:t>
      </w:r>
      <w:proofErr w:type="spellStart"/>
      <w:r w:rsidRPr="0081429D">
        <w:rPr>
          <w:szCs w:val="22"/>
        </w:rPr>
        <w:t>Vivas</w:t>
      </w:r>
      <w:proofErr w:type="spellEnd"/>
      <w:r w:rsidRPr="0081429D">
        <w:rPr>
          <w:szCs w:val="22"/>
        </w:rPr>
        <w:t xml:space="preserve"> can be held for students who fail a paper on the Diploma in Legal Studies, but none have been held for the last six years.</w:t>
      </w:r>
    </w:p>
    <w:p w14:paraId="3A567162" w14:textId="77777777" w:rsidR="00131FDC" w:rsidRPr="004256D6" w:rsidRDefault="00131FDC" w:rsidP="00131FDC">
      <w:pPr>
        <w:spacing w:after="0"/>
        <w:rPr>
          <w:rStyle w:val="Ref"/>
          <w:rFonts w:eastAsia="Calibri"/>
          <w:b/>
          <w:bCs/>
          <w:color w:val="000000"/>
          <w:szCs w:val="20"/>
        </w:rPr>
      </w:pPr>
      <w:r w:rsidRPr="004256D6">
        <w:rPr>
          <w:rStyle w:val="Ref"/>
          <w:rFonts w:eastAsia="Calibri"/>
          <w:color w:val="000000"/>
          <w:szCs w:val="20"/>
        </w:rPr>
        <w:fldChar w:fldCharType="begin"/>
      </w:r>
      <w:r w:rsidRPr="004256D6">
        <w:rPr>
          <w:rStyle w:val="Ref"/>
          <w:rFonts w:eastAsia="Calibri"/>
          <w:color w:val="000000"/>
          <w:szCs w:val="20"/>
        </w:rPr>
        <w:instrText>ADVANCE \D 6.45</w:instrText>
      </w:r>
      <w:r w:rsidRPr="004256D6">
        <w:rPr>
          <w:rStyle w:val="Ref"/>
          <w:rFonts w:eastAsia="Calibri"/>
          <w:color w:val="000000"/>
          <w:szCs w:val="20"/>
        </w:rPr>
        <w:fldChar w:fldCharType="end"/>
      </w:r>
      <w:r w:rsidRPr="004256D6">
        <w:rPr>
          <w:rStyle w:val="Ref"/>
          <w:rFonts w:eastAsia="Calibri"/>
          <w:color w:val="000000"/>
          <w:szCs w:val="20"/>
        </w:rPr>
        <w:t>(3)</w:t>
      </w:r>
      <w:r w:rsidRPr="004256D6">
        <w:rPr>
          <w:rStyle w:val="Ref"/>
          <w:rFonts w:eastAsia="Calibri"/>
          <w:color w:val="000000"/>
          <w:szCs w:val="20"/>
        </w:rPr>
        <w:tab/>
        <w:t>Marking of scripts</w:t>
      </w:r>
    </w:p>
    <w:p w14:paraId="214888A8" w14:textId="77777777" w:rsidR="00131FDC" w:rsidRPr="004256D6" w:rsidRDefault="00131FDC" w:rsidP="00131FDC">
      <w:pPr>
        <w:spacing w:after="0"/>
        <w:rPr>
          <w:rStyle w:val="Ref"/>
          <w:rFonts w:eastAsia="Calibri"/>
          <w:b/>
          <w:bCs/>
          <w:color w:val="000000"/>
          <w:szCs w:val="20"/>
        </w:rPr>
      </w:pPr>
    </w:p>
    <w:p w14:paraId="5B68CEA0" w14:textId="77777777" w:rsidR="00FE130B" w:rsidRPr="00FE130B" w:rsidRDefault="00FE130B" w:rsidP="00FE130B">
      <w:pPr>
        <w:rPr>
          <w:szCs w:val="22"/>
        </w:rPr>
      </w:pPr>
      <w:r w:rsidRPr="00FE130B">
        <w:rPr>
          <w:szCs w:val="22"/>
        </w:rPr>
        <w:t>A rigorous system of second marking is used to ensure the accuracy of marking procedures. This second marking occurs in two stages.</w:t>
      </w:r>
    </w:p>
    <w:p w14:paraId="5ECBB906" w14:textId="7A1BC27A" w:rsidR="00FE130B" w:rsidRPr="00FE130B" w:rsidRDefault="00FE130B" w:rsidP="00FE130B">
      <w:pPr>
        <w:rPr>
          <w:szCs w:val="22"/>
        </w:rPr>
      </w:pPr>
      <w:r w:rsidRPr="00FE130B">
        <w:rPr>
          <w:szCs w:val="22"/>
        </w:rPr>
        <w:t xml:space="preserve">The first stage takes place during initial marking before the first marks meeting. In larger subjects, marking teams meet to ensure that a similar approach is taken by all markers. Where there is a discrepancy in marking profiles among the team, a sample of scripts are sent for second marking to ensure consistency. In smaller subjects, a random sample of scripts are second marked, again to ensure consistency of marking. This sample should be at least six scripts, or 20% of the candidates, whichever is larger. In all subjects, any script where the first mark ends with a 9 (69, 59, 49) or any mark below 40 is also second marked at this stage. All potential prize scripts should be second marked at this time also. </w:t>
      </w:r>
      <w:r w:rsidRPr="00A33BCF">
        <w:rPr>
          <w:szCs w:val="22"/>
        </w:rPr>
        <w:t xml:space="preserve">In 2020, </w:t>
      </w:r>
      <w:r w:rsidR="00283512" w:rsidRPr="00A33BCF">
        <w:rPr>
          <w:szCs w:val="22"/>
        </w:rPr>
        <w:t xml:space="preserve">395 </w:t>
      </w:r>
      <w:r w:rsidRPr="00A33BCF">
        <w:rPr>
          <w:szCs w:val="22"/>
        </w:rPr>
        <w:t>scripts were second marked prior to the first marks meeting.</w:t>
      </w:r>
    </w:p>
    <w:p w14:paraId="48860068" w14:textId="45DAE6B5" w:rsidR="00FE130B" w:rsidRPr="00FE130B" w:rsidRDefault="00FE130B" w:rsidP="00FE130B">
      <w:pPr>
        <w:rPr>
          <w:szCs w:val="22"/>
        </w:rPr>
      </w:pPr>
      <w:r w:rsidRPr="00FE130B">
        <w:rPr>
          <w:szCs w:val="22"/>
        </w:rPr>
        <w:lastRenderedPageBreak/>
        <w:t xml:space="preserve">Additional scripts are sent for second marking following the first marks meeting. In all instances, where a script mark was 4% below the candidate’s average mark, the script was second marked. Further, where a script ended with an 8 and where a change in one or more scripts could affect the candidate’s overall award classification, the script was second marked at this stage, and was flagged as a borderline script. Where a candidate needed a change in only one script to alter their overall classification, and where the candidate had a script ending with a 7, this was also sent for second marking as a borderline script. </w:t>
      </w:r>
      <w:r w:rsidRPr="00A33BCF">
        <w:rPr>
          <w:szCs w:val="22"/>
        </w:rPr>
        <w:t xml:space="preserve">In 2020, </w:t>
      </w:r>
      <w:r w:rsidR="00283512" w:rsidRPr="00A33BCF">
        <w:rPr>
          <w:szCs w:val="22"/>
        </w:rPr>
        <w:t xml:space="preserve">188 </w:t>
      </w:r>
      <w:r w:rsidRPr="00A33BCF">
        <w:rPr>
          <w:szCs w:val="22"/>
        </w:rPr>
        <w:t xml:space="preserve">scripts were second marked following the first marks meeting. </w:t>
      </w:r>
    </w:p>
    <w:p w14:paraId="57CA7ED4" w14:textId="6DE994F5" w:rsidR="00FE130B" w:rsidRPr="00FE130B" w:rsidRDefault="00FE130B" w:rsidP="00FE130B">
      <w:pPr>
        <w:rPr>
          <w:szCs w:val="22"/>
        </w:rPr>
      </w:pPr>
      <w:r w:rsidRPr="00A33BCF">
        <w:rPr>
          <w:szCs w:val="22"/>
        </w:rPr>
        <w:t xml:space="preserve">Overall, the level of second marking was broadly </w:t>
      </w:r>
      <w:proofErr w:type="gramStart"/>
      <w:r w:rsidRPr="00A33BCF">
        <w:rPr>
          <w:szCs w:val="22"/>
        </w:rPr>
        <w:t>similar to</w:t>
      </w:r>
      <w:proofErr w:type="gramEnd"/>
      <w:r w:rsidRPr="00A33BCF">
        <w:rPr>
          <w:szCs w:val="22"/>
        </w:rPr>
        <w:t xml:space="preserve"> the last few years</w:t>
      </w:r>
      <w:r w:rsidR="00A33BCF">
        <w:rPr>
          <w:szCs w:val="22"/>
        </w:rPr>
        <w:t>.</w:t>
      </w:r>
    </w:p>
    <w:tbl>
      <w:tblPr>
        <w:tblW w:w="8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34"/>
        <w:gridCol w:w="1134"/>
        <w:gridCol w:w="1134"/>
        <w:gridCol w:w="1134"/>
        <w:gridCol w:w="1134"/>
        <w:gridCol w:w="1134"/>
      </w:tblGrid>
      <w:tr w:rsidR="00A33BCF" w:rsidRPr="00A172CC" w14:paraId="677EFBAF" w14:textId="77777777" w:rsidTr="00322417">
        <w:trPr>
          <w:trHeight w:hRule="exact" w:val="614"/>
        </w:trPr>
        <w:tc>
          <w:tcPr>
            <w:tcW w:w="1702" w:type="dxa"/>
            <w:vAlign w:val="center"/>
          </w:tcPr>
          <w:p w14:paraId="177C7A25" w14:textId="77777777" w:rsidR="00A33BCF" w:rsidRPr="00A172CC" w:rsidRDefault="00A33BCF" w:rsidP="00322417"/>
        </w:tc>
        <w:tc>
          <w:tcPr>
            <w:tcW w:w="3402" w:type="dxa"/>
            <w:gridSpan w:val="3"/>
          </w:tcPr>
          <w:p w14:paraId="0561BB8F" w14:textId="5D29F37A" w:rsidR="00A33BCF" w:rsidRPr="00A172CC" w:rsidRDefault="00A33BCF" w:rsidP="00A33BCF">
            <w:pPr>
              <w:jc w:val="center"/>
            </w:pPr>
            <w:r>
              <w:t>Number</w:t>
            </w:r>
          </w:p>
        </w:tc>
        <w:tc>
          <w:tcPr>
            <w:tcW w:w="3402" w:type="dxa"/>
            <w:gridSpan w:val="3"/>
          </w:tcPr>
          <w:p w14:paraId="700E166B" w14:textId="07D5D458" w:rsidR="00A33BCF" w:rsidRPr="00A172CC" w:rsidRDefault="00A33BCF" w:rsidP="00A33BCF">
            <w:pPr>
              <w:jc w:val="center"/>
            </w:pPr>
            <w:r>
              <w:t>Percentage %</w:t>
            </w:r>
          </w:p>
        </w:tc>
      </w:tr>
      <w:tr w:rsidR="00A33BCF" w:rsidRPr="00A172CC" w14:paraId="6D63D1E9" w14:textId="77777777" w:rsidTr="00A33BCF">
        <w:trPr>
          <w:trHeight w:hRule="exact" w:val="614"/>
        </w:trPr>
        <w:tc>
          <w:tcPr>
            <w:tcW w:w="1702" w:type="dxa"/>
            <w:vAlign w:val="center"/>
          </w:tcPr>
          <w:p w14:paraId="27DFB92E" w14:textId="77777777" w:rsidR="00A33BCF" w:rsidRPr="00A172CC" w:rsidRDefault="00A33BCF" w:rsidP="00322417"/>
        </w:tc>
        <w:tc>
          <w:tcPr>
            <w:tcW w:w="1134" w:type="dxa"/>
            <w:vAlign w:val="center"/>
          </w:tcPr>
          <w:p w14:paraId="7E04428B" w14:textId="20F8CE76" w:rsidR="00A33BCF" w:rsidRPr="00A172CC" w:rsidRDefault="00A33BCF" w:rsidP="00A33BCF">
            <w:pPr>
              <w:jc w:val="center"/>
            </w:pPr>
            <w:r>
              <w:t>2019/20</w:t>
            </w:r>
          </w:p>
        </w:tc>
        <w:tc>
          <w:tcPr>
            <w:tcW w:w="1134" w:type="dxa"/>
            <w:vAlign w:val="center"/>
          </w:tcPr>
          <w:p w14:paraId="4CCFD3B4" w14:textId="6F21C80B" w:rsidR="00A33BCF" w:rsidRPr="00A172CC" w:rsidRDefault="00A33BCF" w:rsidP="00322417">
            <w:r w:rsidRPr="00A172CC">
              <w:t>2018/19</w:t>
            </w:r>
          </w:p>
        </w:tc>
        <w:tc>
          <w:tcPr>
            <w:tcW w:w="1134" w:type="dxa"/>
            <w:vAlign w:val="center"/>
          </w:tcPr>
          <w:p w14:paraId="5BF990DB" w14:textId="77777777" w:rsidR="00A33BCF" w:rsidRPr="00A172CC" w:rsidRDefault="00A33BCF" w:rsidP="00322417">
            <w:r w:rsidRPr="00A172CC">
              <w:t>2017/18</w:t>
            </w:r>
          </w:p>
        </w:tc>
        <w:tc>
          <w:tcPr>
            <w:tcW w:w="1134" w:type="dxa"/>
            <w:vAlign w:val="center"/>
          </w:tcPr>
          <w:p w14:paraId="57FBF13B" w14:textId="3B47ECE7" w:rsidR="00A33BCF" w:rsidRPr="00A172CC" w:rsidRDefault="00A33BCF" w:rsidP="00A33BCF">
            <w:pPr>
              <w:jc w:val="center"/>
            </w:pPr>
            <w:r>
              <w:t>2019/20</w:t>
            </w:r>
          </w:p>
        </w:tc>
        <w:tc>
          <w:tcPr>
            <w:tcW w:w="1134" w:type="dxa"/>
            <w:vAlign w:val="center"/>
          </w:tcPr>
          <w:p w14:paraId="703253FC" w14:textId="09F35B23" w:rsidR="00A33BCF" w:rsidRPr="00A172CC" w:rsidRDefault="00A33BCF" w:rsidP="00322417">
            <w:r w:rsidRPr="00A172CC">
              <w:t>2018/19</w:t>
            </w:r>
          </w:p>
        </w:tc>
        <w:tc>
          <w:tcPr>
            <w:tcW w:w="1134" w:type="dxa"/>
            <w:vAlign w:val="center"/>
          </w:tcPr>
          <w:p w14:paraId="55CCE74D" w14:textId="77777777" w:rsidR="00A33BCF" w:rsidRPr="00A172CC" w:rsidRDefault="00A33BCF" w:rsidP="00322417">
            <w:r w:rsidRPr="00A172CC">
              <w:t>2017/18</w:t>
            </w:r>
          </w:p>
        </w:tc>
      </w:tr>
      <w:tr w:rsidR="00A33BCF" w:rsidRPr="00A172CC" w14:paraId="2ED7406D" w14:textId="77777777" w:rsidTr="00A33BCF">
        <w:trPr>
          <w:trHeight w:hRule="exact" w:val="444"/>
        </w:trPr>
        <w:tc>
          <w:tcPr>
            <w:tcW w:w="1702" w:type="dxa"/>
            <w:vAlign w:val="center"/>
          </w:tcPr>
          <w:p w14:paraId="2978D2AE" w14:textId="77777777" w:rsidR="00A33BCF" w:rsidRPr="00A172CC" w:rsidRDefault="00A33BCF" w:rsidP="00322417">
            <w:r w:rsidRPr="00A172CC">
              <w:t>Total Scripts</w:t>
            </w:r>
          </w:p>
        </w:tc>
        <w:tc>
          <w:tcPr>
            <w:tcW w:w="1134" w:type="dxa"/>
          </w:tcPr>
          <w:p w14:paraId="503AB7EE" w14:textId="6E6D511C" w:rsidR="00A33BCF" w:rsidRPr="00A172CC" w:rsidRDefault="00074636" w:rsidP="00322417">
            <w:r>
              <w:t>1915</w:t>
            </w:r>
          </w:p>
        </w:tc>
        <w:tc>
          <w:tcPr>
            <w:tcW w:w="1134" w:type="dxa"/>
            <w:vAlign w:val="center"/>
          </w:tcPr>
          <w:p w14:paraId="1B371A94" w14:textId="0479D05A" w:rsidR="00A33BCF" w:rsidRPr="00A172CC" w:rsidRDefault="00A33BCF" w:rsidP="00322417">
            <w:r w:rsidRPr="00A172CC">
              <w:t>2219</w:t>
            </w:r>
          </w:p>
        </w:tc>
        <w:tc>
          <w:tcPr>
            <w:tcW w:w="1134" w:type="dxa"/>
            <w:vAlign w:val="center"/>
          </w:tcPr>
          <w:p w14:paraId="2C03708A" w14:textId="77777777" w:rsidR="00A33BCF" w:rsidRPr="00A172CC" w:rsidRDefault="00A33BCF" w:rsidP="00322417">
            <w:r w:rsidRPr="00A172CC">
              <w:t>2154</w:t>
            </w:r>
          </w:p>
        </w:tc>
        <w:tc>
          <w:tcPr>
            <w:tcW w:w="1134" w:type="dxa"/>
          </w:tcPr>
          <w:p w14:paraId="0F8B8EA3" w14:textId="77777777" w:rsidR="00A33BCF" w:rsidRPr="00A172CC" w:rsidRDefault="00A33BCF" w:rsidP="00322417"/>
        </w:tc>
        <w:tc>
          <w:tcPr>
            <w:tcW w:w="1134" w:type="dxa"/>
          </w:tcPr>
          <w:p w14:paraId="58EECB17" w14:textId="77624204" w:rsidR="00A33BCF" w:rsidRPr="00A172CC" w:rsidRDefault="00A33BCF" w:rsidP="00322417"/>
        </w:tc>
        <w:tc>
          <w:tcPr>
            <w:tcW w:w="1134" w:type="dxa"/>
            <w:vAlign w:val="center"/>
          </w:tcPr>
          <w:p w14:paraId="5BF22797" w14:textId="77777777" w:rsidR="00A33BCF" w:rsidRPr="00A172CC" w:rsidRDefault="00A33BCF" w:rsidP="00322417"/>
        </w:tc>
      </w:tr>
      <w:tr w:rsidR="00A33BCF" w:rsidRPr="00A172CC" w14:paraId="0022DC10" w14:textId="77777777" w:rsidTr="00A33BCF">
        <w:trPr>
          <w:trHeight w:hRule="exact" w:val="444"/>
        </w:trPr>
        <w:tc>
          <w:tcPr>
            <w:tcW w:w="1702" w:type="dxa"/>
            <w:vAlign w:val="center"/>
          </w:tcPr>
          <w:p w14:paraId="12CF695F" w14:textId="77777777" w:rsidR="00A33BCF" w:rsidRPr="00A172CC" w:rsidRDefault="00A33BCF" w:rsidP="00322417">
            <w:r w:rsidRPr="00A172CC">
              <w:t>First stage</w:t>
            </w:r>
          </w:p>
        </w:tc>
        <w:tc>
          <w:tcPr>
            <w:tcW w:w="1134" w:type="dxa"/>
          </w:tcPr>
          <w:p w14:paraId="0E686B73" w14:textId="1CB36C6F" w:rsidR="00A33BCF" w:rsidRPr="00A172CC" w:rsidRDefault="00A33BCF" w:rsidP="00322417">
            <w:r>
              <w:t>395</w:t>
            </w:r>
          </w:p>
        </w:tc>
        <w:tc>
          <w:tcPr>
            <w:tcW w:w="1134" w:type="dxa"/>
            <w:vAlign w:val="center"/>
          </w:tcPr>
          <w:p w14:paraId="3A0A17D6" w14:textId="77AEF7E1" w:rsidR="00A33BCF" w:rsidRPr="00A172CC" w:rsidRDefault="00A33BCF" w:rsidP="00322417">
            <w:r w:rsidRPr="00A172CC">
              <w:t>431</w:t>
            </w:r>
          </w:p>
        </w:tc>
        <w:tc>
          <w:tcPr>
            <w:tcW w:w="1134" w:type="dxa"/>
            <w:vAlign w:val="center"/>
          </w:tcPr>
          <w:p w14:paraId="30413AAB" w14:textId="77777777" w:rsidR="00A33BCF" w:rsidRPr="00A172CC" w:rsidRDefault="00A33BCF" w:rsidP="00322417">
            <w:r w:rsidRPr="00A172CC">
              <w:t>371</w:t>
            </w:r>
          </w:p>
        </w:tc>
        <w:tc>
          <w:tcPr>
            <w:tcW w:w="1134" w:type="dxa"/>
          </w:tcPr>
          <w:p w14:paraId="2C58CD1B" w14:textId="5EC09491" w:rsidR="00A33BCF" w:rsidRPr="00A172CC" w:rsidRDefault="00074636" w:rsidP="00322417">
            <w:r>
              <w:t>20.62</w:t>
            </w:r>
          </w:p>
        </w:tc>
        <w:tc>
          <w:tcPr>
            <w:tcW w:w="1134" w:type="dxa"/>
            <w:vAlign w:val="center"/>
          </w:tcPr>
          <w:p w14:paraId="63013445" w14:textId="77EBCE5D" w:rsidR="00A33BCF" w:rsidRPr="00A172CC" w:rsidRDefault="00A33BCF" w:rsidP="00322417">
            <w:r w:rsidRPr="00A172CC">
              <w:t>19.42</w:t>
            </w:r>
          </w:p>
        </w:tc>
        <w:tc>
          <w:tcPr>
            <w:tcW w:w="1134" w:type="dxa"/>
            <w:vAlign w:val="center"/>
          </w:tcPr>
          <w:p w14:paraId="403F1DBF" w14:textId="77777777" w:rsidR="00A33BCF" w:rsidRPr="00A172CC" w:rsidRDefault="00A33BCF" w:rsidP="00322417">
            <w:r w:rsidRPr="00A172CC">
              <w:t>17.22</w:t>
            </w:r>
          </w:p>
        </w:tc>
      </w:tr>
      <w:tr w:rsidR="00A33BCF" w:rsidRPr="00A172CC" w14:paraId="2A7E128E" w14:textId="77777777" w:rsidTr="00A33BCF">
        <w:trPr>
          <w:trHeight w:hRule="exact" w:val="444"/>
        </w:trPr>
        <w:tc>
          <w:tcPr>
            <w:tcW w:w="1702" w:type="dxa"/>
            <w:vAlign w:val="center"/>
          </w:tcPr>
          <w:p w14:paraId="5460FDA5" w14:textId="77777777" w:rsidR="00A33BCF" w:rsidRPr="00A172CC" w:rsidRDefault="00A33BCF" w:rsidP="00322417">
            <w:r w:rsidRPr="00A172CC">
              <w:t>Second stage</w:t>
            </w:r>
          </w:p>
        </w:tc>
        <w:tc>
          <w:tcPr>
            <w:tcW w:w="1134" w:type="dxa"/>
          </w:tcPr>
          <w:p w14:paraId="26033BE7" w14:textId="718F1B30" w:rsidR="00A33BCF" w:rsidRPr="00A172CC" w:rsidRDefault="00A33BCF" w:rsidP="00322417">
            <w:r>
              <w:t>188</w:t>
            </w:r>
          </w:p>
        </w:tc>
        <w:tc>
          <w:tcPr>
            <w:tcW w:w="1134" w:type="dxa"/>
            <w:vAlign w:val="center"/>
          </w:tcPr>
          <w:p w14:paraId="27EF86C0" w14:textId="56EEE63B" w:rsidR="00A33BCF" w:rsidRPr="00A172CC" w:rsidRDefault="00A33BCF" w:rsidP="00322417">
            <w:r w:rsidRPr="00A172CC">
              <w:t>224</w:t>
            </w:r>
          </w:p>
        </w:tc>
        <w:tc>
          <w:tcPr>
            <w:tcW w:w="1134" w:type="dxa"/>
            <w:vAlign w:val="center"/>
          </w:tcPr>
          <w:p w14:paraId="2B113384" w14:textId="77777777" w:rsidR="00A33BCF" w:rsidRPr="00A172CC" w:rsidRDefault="00A33BCF" w:rsidP="00322417">
            <w:r w:rsidRPr="00A172CC">
              <w:t>270</w:t>
            </w:r>
          </w:p>
        </w:tc>
        <w:tc>
          <w:tcPr>
            <w:tcW w:w="1134" w:type="dxa"/>
          </w:tcPr>
          <w:p w14:paraId="469DD4DF" w14:textId="1A00FAA4" w:rsidR="00A33BCF" w:rsidRPr="00A172CC" w:rsidRDefault="00074636" w:rsidP="00322417">
            <w:r>
              <w:t>9.81</w:t>
            </w:r>
          </w:p>
        </w:tc>
        <w:tc>
          <w:tcPr>
            <w:tcW w:w="1134" w:type="dxa"/>
            <w:vAlign w:val="center"/>
          </w:tcPr>
          <w:p w14:paraId="3DD9B0FD" w14:textId="65C16072" w:rsidR="00A33BCF" w:rsidRPr="00A172CC" w:rsidRDefault="00A33BCF" w:rsidP="00322417">
            <w:r w:rsidRPr="00A172CC">
              <w:t>10.09</w:t>
            </w:r>
          </w:p>
        </w:tc>
        <w:tc>
          <w:tcPr>
            <w:tcW w:w="1134" w:type="dxa"/>
            <w:vAlign w:val="center"/>
          </w:tcPr>
          <w:p w14:paraId="6367A390" w14:textId="77777777" w:rsidR="00A33BCF" w:rsidRPr="00A172CC" w:rsidRDefault="00A33BCF" w:rsidP="00322417">
            <w:r w:rsidRPr="00A172CC">
              <w:t>12.53</w:t>
            </w:r>
          </w:p>
        </w:tc>
      </w:tr>
      <w:tr w:rsidR="00A33BCF" w:rsidRPr="00A172CC" w14:paraId="17E34DB0" w14:textId="77777777" w:rsidTr="00A33BCF">
        <w:trPr>
          <w:trHeight w:hRule="exact" w:val="668"/>
        </w:trPr>
        <w:tc>
          <w:tcPr>
            <w:tcW w:w="1702" w:type="dxa"/>
            <w:vAlign w:val="center"/>
          </w:tcPr>
          <w:p w14:paraId="419A96BF" w14:textId="77777777" w:rsidR="00A33BCF" w:rsidRPr="00A172CC" w:rsidRDefault="00A33BCF" w:rsidP="00322417">
            <w:r w:rsidRPr="00A172CC">
              <w:t>All second marking</w:t>
            </w:r>
          </w:p>
        </w:tc>
        <w:tc>
          <w:tcPr>
            <w:tcW w:w="1134" w:type="dxa"/>
          </w:tcPr>
          <w:p w14:paraId="44F14BC1" w14:textId="12F6C7B0" w:rsidR="00A33BCF" w:rsidRPr="00A172CC" w:rsidRDefault="00074636" w:rsidP="00322417">
            <w:r>
              <w:t>583</w:t>
            </w:r>
          </w:p>
        </w:tc>
        <w:tc>
          <w:tcPr>
            <w:tcW w:w="1134" w:type="dxa"/>
            <w:vAlign w:val="center"/>
          </w:tcPr>
          <w:p w14:paraId="6295E9F6" w14:textId="651DD7EB" w:rsidR="00A33BCF" w:rsidRPr="00A172CC" w:rsidRDefault="00A33BCF" w:rsidP="00322417">
            <w:r w:rsidRPr="00A172CC">
              <w:t>655</w:t>
            </w:r>
          </w:p>
        </w:tc>
        <w:tc>
          <w:tcPr>
            <w:tcW w:w="1134" w:type="dxa"/>
            <w:vAlign w:val="center"/>
          </w:tcPr>
          <w:p w14:paraId="2C3D74A2" w14:textId="77777777" w:rsidR="00A33BCF" w:rsidRPr="00A172CC" w:rsidRDefault="00A33BCF" w:rsidP="00322417">
            <w:r w:rsidRPr="00A172CC">
              <w:t>641</w:t>
            </w:r>
          </w:p>
        </w:tc>
        <w:tc>
          <w:tcPr>
            <w:tcW w:w="1134" w:type="dxa"/>
          </w:tcPr>
          <w:p w14:paraId="7EDF49B5" w14:textId="59E18EFE" w:rsidR="00A33BCF" w:rsidRPr="00A172CC" w:rsidRDefault="00074636" w:rsidP="00322417">
            <w:r>
              <w:t>30.44</w:t>
            </w:r>
          </w:p>
        </w:tc>
        <w:tc>
          <w:tcPr>
            <w:tcW w:w="1134" w:type="dxa"/>
            <w:vAlign w:val="center"/>
          </w:tcPr>
          <w:p w14:paraId="524692BD" w14:textId="2FFC5896" w:rsidR="00A33BCF" w:rsidRPr="00A172CC" w:rsidRDefault="00A33BCF" w:rsidP="00322417">
            <w:r w:rsidRPr="00A172CC">
              <w:t>29.51</w:t>
            </w:r>
          </w:p>
        </w:tc>
        <w:tc>
          <w:tcPr>
            <w:tcW w:w="1134" w:type="dxa"/>
            <w:vAlign w:val="center"/>
          </w:tcPr>
          <w:p w14:paraId="78782B42" w14:textId="77777777" w:rsidR="00A33BCF" w:rsidRPr="00A172CC" w:rsidRDefault="00A33BCF" w:rsidP="00322417">
            <w:r w:rsidRPr="00A172CC">
              <w:t>29.75</w:t>
            </w:r>
          </w:p>
        </w:tc>
      </w:tr>
    </w:tbl>
    <w:p w14:paraId="4264B428" w14:textId="77777777" w:rsidR="00B34129" w:rsidRDefault="00B34129" w:rsidP="00B34129">
      <w:pPr>
        <w:keepNext/>
        <w:spacing w:before="240" w:after="120"/>
        <w:outlineLvl w:val="1"/>
      </w:pPr>
      <w:bookmarkStart w:id="1" w:name="_Toc22716385"/>
    </w:p>
    <w:p w14:paraId="59BC8829" w14:textId="4E202628" w:rsidR="00B34129" w:rsidRPr="00B34129" w:rsidRDefault="00B34129" w:rsidP="00B34129">
      <w:pPr>
        <w:keepNext/>
        <w:spacing w:before="240" w:after="120"/>
        <w:outlineLvl w:val="1"/>
        <w:rPr>
          <w:rFonts w:eastAsiaTheme="majorEastAsia" w:cs="Arial"/>
          <w:b/>
          <w:bCs/>
          <w:iCs/>
          <w:szCs w:val="28"/>
        </w:rPr>
      </w:pPr>
      <w:r w:rsidRPr="00B34129">
        <w:rPr>
          <w:rFonts w:eastAsiaTheme="majorEastAsia" w:cs="Arial"/>
          <w:b/>
          <w:bCs/>
          <w:iCs/>
          <w:szCs w:val="28"/>
        </w:rPr>
        <w:t>Jurisprudence Procedure</w:t>
      </w:r>
      <w:bookmarkEnd w:id="1"/>
    </w:p>
    <w:p w14:paraId="30C06E14" w14:textId="77777777" w:rsidR="00B34129" w:rsidRPr="00D81964" w:rsidRDefault="00B34129" w:rsidP="00B34129">
      <w:pPr>
        <w:rPr>
          <w:szCs w:val="22"/>
        </w:rPr>
      </w:pPr>
      <w:r w:rsidRPr="00D81964">
        <w:rPr>
          <w:szCs w:val="22"/>
        </w:rPr>
        <w:t xml:space="preserve">As the two elements of the Jurisprudence assessment are marked separately, a slightly different procedure is used for second marking. </w:t>
      </w:r>
    </w:p>
    <w:p w14:paraId="614BBF4B" w14:textId="77777777" w:rsidR="00B34129" w:rsidRPr="00D81964" w:rsidRDefault="00B34129" w:rsidP="00B34129">
      <w:pPr>
        <w:rPr>
          <w:szCs w:val="22"/>
        </w:rPr>
      </w:pPr>
      <w:r w:rsidRPr="00D81964">
        <w:rPr>
          <w:szCs w:val="22"/>
        </w:rPr>
        <w:t xml:space="preserve">During first marking, the standard procedure is used for the exam element. That is, profiling and sampling is undertaken for each marker. </w:t>
      </w:r>
      <w:proofErr w:type="gramStart"/>
      <w:r w:rsidRPr="00D81964">
        <w:rPr>
          <w:szCs w:val="22"/>
        </w:rPr>
        <w:t>On the basis of</w:t>
      </w:r>
      <w:proofErr w:type="gramEnd"/>
      <w:r w:rsidRPr="00D81964">
        <w:rPr>
          <w:szCs w:val="22"/>
        </w:rPr>
        <w:t xml:space="preserve"> a recommendation from the Examinations Committee in September 2017, the Jurisprudence marking group agreed that all mini-option essays would be second marked at the initial marking phase, reducing the need for additional essay marking between the exam board meetings.</w:t>
      </w:r>
    </w:p>
    <w:p w14:paraId="31F68BC5" w14:textId="77777777" w:rsidR="00B34129" w:rsidRPr="00D81964" w:rsidRDefault="00B34129" w:rsidP="00B34129">
      <w:pPr>
        <w:rPr>
          <w:szCs w:val="22"/>
        </w:rPr>
      </w:pPr>
      <w:r w:rsidRPr="00D81964">
        <w:rPr>
          <w:szCs w:val="22"/>
        </w:rPr>
        <w:t>Following the first marks meeting, additional second marking takes place. Some scripts are sent for second marking where one or both elements is four below the candidate’s average. Second marking also occurs where the combined marks leave the student on the borderline between classifications.</w:t>
      </w:r>
    </w:p>
    <w:p w14:paraId="5A5CD124" w14:textId="167E640F" w:rsidR="00B34129" w:rsidRPr="00D81964" w:rsidRDefault="00B34129" w:rsidP="00B34129">
      <w:pPr>
        <w:rPr>
          <w:szCs w:val="22"/>
        </w:rPr>
      </w:pPr>
      <w:r w:rsidRPr="00D81964">
        <w:rPr>
          <w:szCs w:val="22"/>
        </w:rPr>
        <w:t xml:space="preserve">There were 12 instances of Jurisprudence Examination second marking between the </w:t>
      </w:r>
      <w:proofErr w:type="gramStart"/>
      <w:r w:rsidRPr="00D81964">
        <w:rPr>
          <w:szCs w:val="22"/>
        </w:rPr>
        <w:t>marks</w:t>
      </w:r>
      <w:proofErr w:type="gramEnd"/>
      <w:r w:rsidRPr="00D81964">
        <w:rPr>
          <w:szCs w:val="22"/>
        </w:rPr>
        <w:t xml:space="preserve"> meetings. </w:t>
      </w:r>
    </w:p>
    <w:p w14:paraId="0B92AAF7" w14:textId="77777777" w:rsidR="00B34129" w:rsidRDefault="00B34129" w:rsidP="00131FDC">
      <w:pPr>
        <w:spacing w:after="0"/>
        <w:rPr>
          <w:rStyle w:val="Ref"/>
          <w:rFonts w:eastAsia="Calibri"/>
          <w:b/>
          <w:color w:val="000000"/>
          <w:szCs w:val="20"/>
        </w:rPr>
      </w:pPr>
    </w:p>
    <w:p w14:paraId="1319DF5B" w14:textId="77777777" w:rsidR="00B34129" w:rsidRDefault="00B34129" w:rsidP="00131FDC">
      <w:pPr>
        <w:spacing w:after="0"/>
        <w:rPr>
          <w:rStyle w:val="Ref"/>
          <w:rFonts w:eastAsia="Calibri"/>
          <w:b/>
          <w:color w:val="000000"/>
          <w:szCs w:val="20"/>
        </w:rPr>
      </w:pPr>
    </w:p>
    <w:p w14:paraId="529E8AB9" w14:textId="14B58772" w:rsidR="00AE2646" w:rsidRPr="004256D6" w:rsidRDefault="00AE2646" w:rsidP="00131FDC">
      <w:pPr>
        <w:spacing w:after="0"/>
        <w:rPr>
          <w:rStyle w:val="Ref"/>
          <w:rFonts w:eastAsia="Calibri"/>
          <w:color w:val="000000"/>
          <w:szCs w:val="20"/>
        </w:rPr>
      </w:pPr>
      <w:r w:rsidRPr="004256D6">
        <w:rPr>
          <w:rStyle w:val="Ref"/>
          <w:rFonts w:eastAsia="Calibri"/>
          <w:b/>
          <w:color w:val="000000"/>
          <w:szCs w:val="20"/>
        </w:rPr>
        <w:t>NEW EXAMINING METHODS AND PROCEDURES</w:t>
      </w:r>
    </w:p>
    <w:p w14:paraId="273CBD11" w14:textId="77777777" w:rsidR="00131FDC" w:rsidRPr="004256D6" w:rsidRDefault="00131FDC" w:rsidP="00131FDC">
      <w:pPr>
        <w:spacing w:after="0"/>
        <w:rPr>
          <w:rStyle w:val="Ref"/>
          <w:rFonts w:eastAsia="Calibri"/>
          <w:color w:val="000000"/>
          <w:szCs w:val="20"/>
        </w:rPr>
      </w:pPr>
    </w:p>
    <w:p w14:paraId="226A581B" w14:textId="0F77E496" w:rsidR="00131FDC" w:rsidRDefault="00131FDC" w:rsidP="00AC1DFA">
      <w:pPr>
        <w:spacing w:after="0"/>
        <w:rPr>
          <w:rStyle w:val="Ref"/>
          <w:rFonts w:eastAsia="Calibri"/>
          <w:b/>
          <w:color w:val="000000"/>
          <w:szCs w:val="20"/>
        </w:rPr>
      </w:pPr>
      <w:r w:rsidRPr="004256D6">
        <w:rPr>
          <w:rStyle w:val="Ref"/>
          <w:rFonts w:eastAsia="Calibri"/>
          <w:b/>
          <w:color w:val="000000"/>
          <w:szCs w:val="20"/>
        </w:rPr>
        <w:t>B.</w:t>
      </w:r>
      <w:r w:rsidRPr="004256D6">
        <w:rPr>
          <w:rStyle w:val="Ref"/>
          <w:rFonts w:eastAsia="Calibri"/>
          <w:b/>
          <w:color w:val="000000"/>
          <w:szCs w:val="20"/>
        </w:rPr>
        <w:tab/>
      </w:r>
    </w:p>
    <w:p w14:paraId="0588F921" w14:textId="77777777" w:rsidR="00AC1DFA" w:rsidRDefault="00AC1DFA" w:rsidP="00AC1DFA">
      <w:pPr>
        <w:spacing w:after="0"/>
        <w:rPr>
          <w:rStyle w:val="Ref"/>
          <w:rFonts w:eastAsia="Calibri"/>
          <w:color w:val="000000"/>
          <w:szCs w:val="20"/>
        </w:rPr>
      </w:pPr>
    </w:p>
    <w:p w14:paraId="46465322" w14:textId="77777777" w:rsidR="00AC1DFA" w:rsidRPr="009F476E" w:rsidRDefault="00AC1DFA" w:rsidP="00AC1DFA">
      <w:pPr>
        <w:numPr>
          <w:ilvl w:val="0"/>
          <w:numId w:val="4"/>
        </w:numPr>
        <w:spacing w:after="0"/>
        <w:rPr>
          <w:rFonts w:eastAsia="Calibri"/>
          <w:b/>
          <w:bCs/>
          <w:color w:val="000000"/>
          <w:szCs w:val="20"/>
          <w:u w:val="single"/>
        </w:rPr>
      </w:pPr>
      <w:r w:rsidRPr="009F476E">
        <w:rPr>
          <w:rFonts w:eastAsia="Calibri"/>
          <w:b/>
          <w:bCs/>
          <w:color w:val="000000"/>
          <w:szCs w:val="20"/>
          <w:u w:val="single"/>
        </w:rPr>
        <w:t>Format of exams</w:t>
      </w:r>
    </w:p>
    <w:p w14:paraId="12F02482" w14:textId="77777777" w:rsidR="00AC1DFA" w:rsidRPr="00AC1DFA" w:rsidRDefault="00AC1DFA" w:rsidP="00AC1DFA">
      <w:pPr>
        <w:spacing w:after="0"/>
        <w:rPr>
          <w:rFonts w:eastAsia="Calibri"/>
          <w:color w:val="000000"/>
          <w:szCs w:val="20"/>
        </w:rPr>
      </w:pPr>
    </w:p>
    <w:p w14:paraId="21B54AF2"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The Covid-19 crisis resulted in the closure of most University buildings, including the Examinations School, and an instruction to students who had returned home for the Easter </w:t>
      </w:r>
      <w:r w:rsidRPr="00AC1DFA">
        <w:rPr>
          <w:rFonts w:eastAsia="Calibri"/>
          <w:color w:val="000000"/>
          <w:szCs w:val="20"/>
        </w:rPr>
        <w:lastRenderedPageBreak/>
        <w:t xml:space="preserve">break not to return Oxford for Trinity Term. This necessitated a change in the format of exams. </w:t>
      </w:r>
    </w:p>
    <w:p w14:paraId="4308F6D6" w14:textId="18E54DB1" w:rsidR="00AC1DFA" w:rsidRDefault="00AC1DFA" w:rsidP="00AC1DFA">
      <w:pPr>
        <w:spacing w:after="0"/>
        <w:rPr>
          <w:rFonts w:eastAsia="Calibri"/>
          <w:color w:val="000000"/>
          <w:szCs w:val="20"/>
        </w:rPr>
      </w:pPr>
      <w:r w:rsidRPr="00AC1DFA">
        <w:rPr>
          <w:rFonts w:eastAsia="Calibri"/>
          <w:color w:val="000000"/>
          <w:szCs w:val="20"/>
        </w:rPr>
        <w:t xml:space="preserve"> </w:t>
      </w:r>
    </w:p>
    <w:p w14:paraId="2FE250C0" w14:textId="77777777" w:rsidR="00AC1DFA" w:rsidRPr="00AC1DFA" w:rsidRDefault="00AC1DFA" w:rsidP="00AC1DFA">
      <w:pPr>
        <w:spacing w:after="0"/>
        <w:rPr>
          <w:rFonts w:eastAsia="Calibri"/>
          <w:color w:val="000000"/>
          <w:szCs w:val="20"/>
        </w:rPr>
      </w:pPr>
    </w:p>
    <w:p w14:paraId="49F2502D" w14:textId="77777777" w:rsidR="00AC1DFA" w:rsidRPr="00AC1DFA" w:rsidRDefault="00AC1DFA" w:rsidP="00AC1DFA">
      <w:pPr>
        <w:spacing w:after="0"/>
        <w:rPr>
          <w:rFonts w:eastAsia="Calibri"/>
          <w:i/>
          <w:iCs/>
          <w:color w:val="000000"/>
          <w:szCs w:val="20"/>
          <w:u w:val="single"/>
        </w:rPr>
      </w:pPr>
      <w:r w:rsidRPr="00AC1DFA">
        <w:rPr>
          <w:rFonts w:eastAsia="Calibri"/>
          <w:i/>
          <w:iCs/>
          <w:color w:val="000000"/>
          <w:szCs w:val="20"/>
          <w:u w:val="single"/>
        </w:rPr>
        <w:t>Coursework</w:t>
      </w:r>
    </w:p>
    <w:p w14:paraId="6FFA9F6B" w14:textId="77777777" w:rsidR="00AC1DFA" w:rsidRPr="00AC1DFA" w:rsidRDefault="00AC1DFA" w:rsidP="00AC1DFA">
      <w:pPr>
        <w:spacing w:after="0"/>
        <w:rPr>
          <w:rFonts w:eastAsia="Calibri"/>
          <w:color w:val="000000"/>
          <w:szCs w:val="20"/>
        </w:rPr>
      </w:pPr>
    </w:p>
    <w:p w14:paraId="7CC2BA3D"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Three papers (Medical Law and Ethics, Comparative Private Law and Advanced Criminal law) are take-home assessments under the existing Regulations. The questions had been set during HT 2020, were not subsequently changed. The date for the release of the questions (due to be in the first week of the Easter holiday) was delayed by a week. </w:t>
      </w:r>
      <w:proofErr w:type="gramStart"/>
      <w:r w:rsidRPr="00AC1DFA">
        <w:rPr>
          <w:rFonts w:eastAsia="Calibri"/>
          <w:color w:val="000000"/>
          <w:szCs w:val="20"/>
        </w:rPr>
        <w:t>Otherwise</w:t>
      </w:r>
      <w:proofErr w:type="gramEnd"/>
      <w:r w:rsidRPr="00AC1DFA">
        <w:rPr>
          <w:rFonts w:eastAsia="Calibri"/>
          <w:color w:val="000000"/>
          <w:szCs w:val="20"/>
        </w:rPr>
        <w:t xml:space="preserve"> the form of assessment was unchanged.</w:t>
      </w:r>
    </w:p>
    <w:p w14:paraId="556FA56D" w14:textId="77777777" w:rsidR="00AC1DFA" w:rsidRPr="00AC1DFA" w:rsidRDefault="00AC1DFA" w:rsidP="00AC1DFA">
      <w:pPr>
        <w:spacing w:after="0"/>
        <w:rPr>
          <w:rFonts w:eastAsia="Calibri"/>
          <w:color w:val="000000"/>
          <w:szCs w:val="20"/>
        </w:rPr>
      </w:pPr>
    </w:p>
    <w:p w14:paraId="372A3CC3" w14:textId="77777777" w:rsidR="00AC1DFA" w:rsidRPr="00AC1DFA" w:rsidRDefault="00AC1DFA" w:rsidP="00AC1DFA">
      <w:pPr>
        <w:spacing w:after="0"/>
        <w:rPr>
          <w:rFonts w:eastAsia="Calibri"/>
          <w:color w:val="000000"/>
          <w:szCs w:val="20"/>
        </w:rPr>
      </w:pPr>
    </w:p>
    <w:p w14:paraId="6A69C979" w14:textId="77777777" w:rsidR="00AC1DFA" w:rsidRPr="00AC1DFA" w:rsidRDefault="00AC1DFA" w:rsidP="00AC1DFA">
      <w:pPr>
        <w:spacing w:after="0"/>
        <w:rPr>
          <w:rFonts w:eastAsia="Calibri"/>
          <w:i/>
          <w:iCs/>
          <w:color w:val="000000"/>
          <w:szCs w:val="20"/>
          <w:u w:val="single"/>
        </w:rPr>
      </w:pPr>
      <w:r w:rsidRPr="00AC1DFA">
        <w:rPr>
          <w:rFonts w:eastAsia="Calibri"/>
          <w:i/>
          <w:iCs/>
          <w:color w:val="000000"/>
          <w:szCs w:val="20"/>
          <w:u w:val="single"/>
        </w:rPr>
        <w:t>Open-book exams</w:t>
      </w:r>
    </w:p>
    <w:p w14:paraId="77630F7B" w14:textId="77777777" w:rsidR="00AC1DFA" w:rsidRPr="00AC1DFA" w:rsidRDefault="00AC1DFA" w:rsidP="00AC1DFA">
      <w:pPr>
        <w:spacing w:after="0"/>
        <w:rPr>
          <w:rFonts w:eastAsia="Calibri"/>
          <w:color w:val="000000"/>
          <w:szCs w:val="20"/>
        </w:rPr>
      </w:pPr>
    </w:p>
    <w:p w14:paraId="2E55CA6F" w14:textId="77777777" w:rsidR="00AC1DFA" w:rsidRPr="00AC1DFA" w:rsidRDefault="00AC1DFA" w:rsidP="00AC1DFA">
      <w:pPr>
        <w:spacing w:after="0"/>
        <w:rPr>
          <w:rFonts w:eastAsia="Calibri"/>
          <w:color w:val="000000"/>
          <w:szCs w:val="20"/>
        </w:rPr>
      </w:pPr>
      <w:r w:rsidRPr="00AC1DFA">
        <w:rPr>
          <w:rFonts w:eastAsia="Calibri"/>
          <w:color w:val="000000"/>
          <w:szCs w:val="20"/>
        </w:rPr>
        <w:t>For the remaining papers there was a change in the format of the assessment, as we moved from a 3-hour closed book format (normally sat in the Examinations Schools) to a 4-hour open-book exam, which would be sat remotely. The papers were made available to candidates online, who then had a 4-hour timeslot to download the paper, answer the questions, and upload their answers. Adjustments were made for different time-zones.</w:t>
      </w:r>
    </w:p>
    <w:p w14:paraId="2C43DBC4" w14:textId="77777777" w:rsidR="00AC1DFA" w:rsidRPr="00AC1DFA" w:rsidRDefault="00AC1DFA" w:rsidP="00AC1DFA">
      <w:pPr>
        <w:spacing w:after="0"/>
        <w:rPr>
          <w:rFonts w:eastAsia="Calibri"/>
          <w:color w:val="000000"/>
          <w:szCs w:val="20"/>
        </w:rPr>
      </w:pPr>
    </w:p>
    <w:p w14:paraId="4252C711"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In terms of the content of the papers, almost all papers had been set before the lockdown measures came into place, meaning that the papers were in the traditional format. In a communication in </w:t>
      </w:r>
      <w:proofErr w:type="gramStart"/>
      <w:r w:rsidRPr="00AC1DFA">
        <w:rPr>
          <w:rFonts w:eastAsia="Calibri"/>
          <w:color w:val="000000"/>
          <w:szCs w:val="20"/>
        </w:rPr>
        <w:t>April 2020</w:t>
      </w:r>
      <w:proofErr w:type="gramEnd"/>
      <w:r w:rsidRPr="00AC1DFA">
        <w:rPr>
          <w:rFonts w:eastAsia="Calibri"/>
          <w:color w:val="000000"/>
          <w:szCs w:val="20"/>
        </w:rPr>
        <w:t xml:space="preserve"> I asked setters to consider if any of their questions would need to be changed in light of the open-book format, although they were not invited to make wide-ranging changes. No paper was changed significantly </w:t>
      </w:r>
      <w:proofErr w:type="gramStart"/>
      <w:r w:rsidRPr="00AC1DFA">
        <w:rPr>
          <w:rFonts w:eastAsia="Calibri"/>
          <w:color w:val="000000"/>
          <w:szCs w:val="20"/>
        </w:rPr>
        <w:t>as a result of</w:t>
      </w:r>
      <w:proofErr w:type="gramEnd"/>
      <w:r w:rsidRPr="00AC1DFA">
        <w:rPr>
          <w:rFonts w:eastAsia="Calibri"/>
          <w:color w:val="000000"/>
          <w:szCs w:val="20"/>
        </w:rPr>
        <w:t xml:space="preserve"> this. As such, the papers remained of the type and nature that students would have been accustomed to sitting from Mods and collections. </w:t>
      </w:r>
    </w:p>
    <w:p w14:paraId="7CABC159" w14:textId="77777777" w:rsidR="00AC1DFA" w:rsidRPr="00AC1DFA" w:rsidRDefault="00AC1DFA" w:rsidP="00AC1DFA">
      <w:pPr>
        <w:spacing w:after="0"/>
        <w:rPr>
          <w:rFonts w:eastAsia="Calibri"/>
          <w:color w:val="000000"/>
          <w:szCs w:val="20"/>
        </w:rPr>
      </w:pPr>
    </w:p>
    <w:p w14:paraId="64255BEE" w14:textId="77777777" w:rsidR="00AC1DFA" w:rsidRPr="00AC1DFA" w:rsidRDefault="00AC1DFA" w:rsidP="00AC1DFA">
      <w:pPr>
        <w:spacing w:after="0"/>
        <w:rPr>
          <w:rFonts w:eastAsia="Calibri"/>
          <w:color w:val="000000"/>
          <w:szCs w:val="20"/>
        </w:rPr>
      </w:pPr>
    </w:p>
    <w:p w14:paraId="0844A92F" w14:textId="77777777" w:rsidR="00AC1DFA" w:rsidRPr="00AC1DFA" w:rsidRDefault="00AC1DFA" w:rsidP="00AC1DFA">
      <w:pPr>
        <w:spacing w:after="0"/>
        <w:rPr>
          <w:rFonts w:eastAsia="Calibri"/>
          <w:color w:val="000000"/>
          <w:szCs w:val="20"/>
        </w:rPr>
      </w:pPr>
    </w:p>
    <w:p w14:paraId="4D1B1CE2" w14:textId="77777777" w:rsidR="00AC1DFA" w:rsidRPr="009F476E" w:rsidRDefault="00AC1DFA" w:rsidP="00AC1DFA">
      <w:pPr>
        <w:numPr>
          <w:ilvl w:val="0"/>
          <w:numId w:val="4"/>
        </w:numPr>
        <w:spacing w:after="0"/>
        <w:rPr>
          <w:rFonts w:eastAsia="Calibri"/>
          <w:b/>
          <w:bCs/>
          <w:color w:val="000000"/>
          <w:szCs w:val="20"/>
          <w:u w:val="single"/>
        </w:rPr>
      </w:pPr>
      <w:r w:rsidRPr="009F476E">
        <w:rPr>
          <w:rFonts w:eastAsia="Calibri"/>
          <w:b/>
          <w:bCs/>
          <w:color w:val="000000"/>
          <w:szCs w:val="20"/>
          <w:u w:val="single"/>
        </w:rPr>
        <w:t>Mitigating the impact of the changes</w:t>
      </w:r>
    </w:p>
    <w:p w14:paraId="242FD568" w14:textId="77777777" w:rsidR="00AC1DFA" w:rsidRPr="00AC1DFA" w:rsidRDefault="00AC1DFA" w:rsidP="00AC1DFA">
      <w:pPr>
        <w:spacing w:after="0"/>
        <w:rPr>
          <w:rFonts w:eastAsia="Calibri"/>
          <w:color w:val="000000"/>
          <w:szCs w:val="20"/>
        </w:rPr>
      </w:pPr>
    </w:p>
    <w:p w14:paraId="5A1ABF50"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The Board recognised that the changes to the form of the assessment could have a significant impact on individual candidates as well as the </w:t>
      </w:r>
      <w:proofErr w:type="gramStart"/>
      <w:r w:rsidRPr="00AC1DFA">
        <w:rPr>
          <w:rFonts w:eastAsia="Calibri"/>
          <w:color w:val="000000"/>
          <w:szCs w:val="20"/>
        </w:rPr>
        <w:t>cohort as a whole</w:t>
      </w:r>
      <w:proofErr w:type="gramEnd"/>
      <w:r w:rsidRPr="00AC1DFA">
        <w:rPr>
          <w:rFonts w:eastAsia="Calibri"/>
          <w:color w:val="000000"/>
          <w:szCs w:val="20"/>
        </w:rPr>
        <w:t>. The exam period is a stressful one in a normal year, and the disruptions of the lockdown will obviously have added to this for several candidates. We thought it was important that the nature of the exams and the criteria for assessment should not change this year. This was a matter of fairness to students, as they were used to dealing with papers of a certain type (</w:t>
      </w:r>
      <w:proofErr w:type="gramStart"/>
      <w:r w:rsidRPr="00AC1DFA">
        <w:rPr>
          <w:rFonts w:eastAsia="Calibri"/>
          <w:color w:val="000000"/>
          <w:szCs w:val="20"/>
        </w:rPr>
        <w:t>as a result of</w:t>
      </w:r>
      <w:proofErr w:type="gramEnd"/>
      <w:r w:rsidRPr="00AC1DFA">
        <w:rPr>
          <w:rFonts w:eastAsia="Calibri"/>
          <w:color w:val="000000"/>
          <w:szCs w:val="20"/>
        </w:rPr>
        <w:t xml:space="preserve"> Mods, collections and revision practice). We sought to reassure students in our communication with them that although the form of the assessment would </w:t>
      </w:r>
      <w:proofErr w:type="gramStart"/>
      <w:r w:rsidRPr="00AC1DFA">
        <w:rPr>
          <w:rFonts w:eastAsia="Calibri"/>
          <w:color w:val="000000"/>
          <w:szCs w:val="20"/>
        </w:rPr>
        <w:t>change,</w:t>
      </w:r>
      <w:proofErr w:type="gramEnd"/>
      <w:r w:rsidRPr="00AC1DFA">
        <w:rPr>
          <w:rFonts w:eastAsia="Calibri"/>
          <w:color w:val="000000"/>
          <w:szCs w:val="20"/>
        </w:rPr>
        <w:t xml:space="preserve"> the type of papers they would be sitting would not. Specific steps taken to mitigate the impact included:</w:t>
      </w:r>
    </w:p>
    <w:p w14:paraId="4F2A334F" w14:textId="77777777" w:rsidR="00AC1DFA" w:rsidRPr="00AC1DFA" w:rsidRDefault="00AC1DFA" w:rsidP="00AC1DFA">
      <w:pPr>
        <w:spacing w:after="0"/>
        <w:rPr>
          <w:rFonts w:eastAsia="Calibri"/>
          <w:color w:val="000000"/>
          <w:szCs w:val="20"/>
        </w:rPr>
      </w:pPr>
    </w:p>
    <w:p w14:paraId="20FF2FF9" w14:textId="77777777" w:rsidR="00AC1DFA" w:rsidRPr="00AC1DFA" w:rsidRDefault="00AC1DFA" w:rsidP="00AC1DFA">
      <w:pPr>
        <w:numPr>
          <w:ilvl w:val="0"/>
          <w:numId w:val="6"/>
        </w:numPr>
        <w:spacing w:after="0"/>
        <w:rPr>
          <w:rFonts w:eastAsia="Calibri"/>
          <w:i/>
          <w:iCs/>
          <w:color w:val="000000"/>
          <w:szCs w:val="20"/>
          <w:u w:val="single"/>
        </w:rPr>
      </w:pPr>
      <w:r w:rsidRPr="00AC1DFA">
        <w:rPr>
          <w:rFonts w:eastAsia="Calibri"/>
          <w:i/>
          <w:iCs/>
          <w:color w:val="000000"/>
          <w:szCs w:val="20"/>
          <w:u w:val="single"/>
        </w:rPr>
        <w:t>Safety net</w:t>
      </w:r>
    </w:p>
    <w:p w14:paraId="78E027DD" w14:textId="77777777" w:rsidR="00AC1DFA" w:rsidRPr="00AC1DFA" w:rsidRDefault="00AC1DFA" w:rsidP="00AC1DFA">
      <w:pPr>
        <w:spacing w:after="0"/>
        <w:rPr>
          <w:rFonts w:eastAsia="Calibri"/>
          <w:color w:val="000000"/>
          <w:szCs w:val="20"/>
        </w:rPr>
      </w:pPr>
    </w:p>
    <w:p w14:paraId="4A664345" w14:textId="77777777" w:rsidR="00AC1DFA" w:rsidRPr="00AC1DFA" w:rsidRDefault="00AC1DFA" w:rsidP="00AC1DFA">
      <w:pPr>
        <w:spacing w:after="0"/>
        <w:rPr>
          <w:rFonts w:eastAsia="Calibri"/>
          <w:color w:val="000000"/>
          <w:szCs w:val="20"/>
        </w:rPr>
      </w:pPr>
      <w:r w:rsidRPr="00AC1DFA">
        <w:rPr>
          <w:rFonts w:eastAsia="Calibri"/>
          <w:color w:val="000000"/>
          <w:szCs w:val="20"/>
        </w:rPr>
        <w:t>A safety net was put in place to ensure that this year’s cohort performed at least as well as the previous three years’ cohorts had done on average. Specific commitments were:</w:t>
      </w:r>
    </w:p>
    <w:p w14:paraId="502F7CD1"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 </w:t>
      </w:r>
    </w:p>
    <w:p w14:paraId="48D43418" w14:textId="77777777" w:rsidR="00AC1DFA" w:rsidRPr="00AC1DFA" w:rsidRDefault="00AC1DFA" w:rsidP="00AC1DFA">
      <w:pPr>
        <w:numPr>
          <w:ilvl w:val="0"/>
          <w:numId w:val="5"/>
        </w:numPr>
        <w:spacing w:after="0"/>
        <w:rPr>
          <w:rFonts w:eastAsia="Calibri"/>
          <w:color w:val="000000"/>
          <w:szCs w:val="20"/>
        </w:rPr>
      </w:pPr>
      <w:r w:rsidRPr="00AC1DFA">
        <w:rPr>
          <w:rFonts w:eastAsia="Calibri"/>
          <w:color w:val="000000"/>
          <w:szCs w:val="20"/>
        </w:rPr>
        <w:t xml:space="preserve">The proportion of </w:t>
      </w:r>
      <w:r w:rsidRPr="00AC1DFA">
        <w:rPr>
          <w:rFonts w:eastAsia="Calibri"/>
          <w:color w:val="000000"/>
          <w:szCs w:val="20"/>
          <w:u w:val="single"/>
        </w:rPr>
        <w:t>Class I overall</w:t>
      </w:r>
      <w:r w:rsidRPr="00AC1DFA">
        <w:rPr>
          <w:rFonts w:eastAsia="Calibri"/>
          <w:color w:val="000000"/>
          <w:szCs w:val="20"/>
        </w:rPr>
        <w:t xml:space="preserve"> (</w:t>
      </w:r>
      <w:proofErr w:type="spellStart"/>
      <w:r w:rsidRPr="00AC1DFA">
        <w:rPr>
          <w:rFonts w:eastAsia="Calibri"/>
          <w:color w:val="000000"/>
          <w:szCs w:val="20"/>
        </w:rPr>
        <w:t>ie</w:t>
      </w:r>
      <w:proofErr w:type="spellEnd"/>
      <w:r w:rsidRPr="00AC1DFA">
        <w:rPr>
          <w:rFonts w:eastAsia="Calibri"/>
          <w:color w:val="000000"/>
          <w:szCs w:val="20"/>
        </w:rPr>
        <w:t xml:space="preserve">. not individual papers, but overall Class I) awarded would be no less than the proportion of Class I overall awarded, on average, over the last three years across Course I and Course II taken </w:t>
      </w:r>
      <w:proofErr w:type="gramStart"/>
      <w:r w:rsidRPr="00AC1DFA">
        <w:rPr>
          <w:rFonts w:eastAsia="Calibri"/>
          <w:color w:val="000000"/>
          <w:szCs w:val="20"/>
        </w:rPr>
        <w:t>together;</w:t>
      </w:r>
      <w:proofErr w:type="gramEnd"/>
    </w:p>
    <w:p w14:paraId="0FDF5237" w14:textId="77777777" w:rsidR="00AC1DFA" w:rsidRPr="00AC1DFA" w:rsidRDefault="00AC1DFA" w:rsidP="00AC1DFA">
      <w:pPr>
        <w:spacing w:after="0"/>
        <w:rPr>
          <w:rFonts w:eastAsia="Calibri"/>
          <w:color w:val="000000"/>
          <w:szCs w:val="20"/>
        </w:rPr>
      </w:pPr>
    </w:p>
    <w:p w14:paraId="0561C520" w14:textId="77777777" w:rsidR="00AC1DFA" w:rsidRPr="00AC1DFA" w:rsidRDefault="00AC1DFA" w:rsidP="00AC1DFA">
      <w:pPr>
        <w:numPr>
          <w:ilvl w:val="0"/>
          <w:numId w:val="5"/>
        </w:numPr>
        <w:spacing w:after="0"/>
        <w:rPr>
          <w:rFonts w:eastAsia="Calibri"/>
          <w:color w:val="000000"/>
          <w:szCs w:val="20"/>
        </w:rPr>
      </w:pPr>
      <w:r w:rsidRPr="00AC1DFA">
        <w:rPr>
          <w:rFonts w:eastAsia="Calibri"/>
          <w:color w:val="000000"/>
          <w:szCs w:val="20"/>
        </w:rPr>
        <w:t xml:space="preserve">The combined proportion of </w:t>
      </w:r>
      <w:r w:rsidRPr="00AC1DFA">
        <w:rPr>
          <w:rFonts w:eastAsia="Calibri"/>
          <w:color w:val="000000"/>
          <w:szCs w:val="20"/>
          <w:u w:val="single"/>
        </w:rPr>
        <w:t xml:space="preserve">Class I and Class </w:t>
      </w:r>
      <w:proofErr w:type="spellStart"/>
      <w:r w:rsidRPr="00AC1DFA">
        <w:rPr>
          <w:rFonts w:eastAsia="Calibri"/>
          <w:color w:val="000000"/>
          <w:szCs w:val="20"/>
          <w:u w:val="single"/>
        </w:rPr>
        <w:t>II.i</w:t>
      </w:r>
      <w:proofErr w:type="spellEnd"/>
      <w:r w:rsidRPr="00AC1DFA">
        <w:rPr>
          <w:rFonts w:eastAsia="Calibri"/>
          <w:color w:val="000000"/>
          <w:szCs w:val="20"/>
          <w:u w:val="single"/>
        </w:rPr>
        <w:t xml:space="preserve"> overall</w:t>
      </w:r>
      <w:r w:rsidRPr="00AC1DFA">
        <w:rPr>
          <w:rFonts w:eastAsia="Calibri"/>
          <w:color w:val="000000"/>
          <w:szCs w:val="20"/>
        </w:rPr>
        <w:t xml:space="preserve"> (</w:t>
      </w:r>
      <w:proofErr w:type="spellStart"/>
      <w:r w:rsidRPr="00AC1DFA">
        <w:rPr>
          <w:rFonts w:eastAsia="Calibri"/>
          <w:color w:val="000000"/>
          <w:szCs w:val="20"/>
        </w:rPr>
        <w:t>ie</w:t>
      </w:r>
      <w:proofErr w:type="spellEnd"/>
      <w:r w:rsidRPr="00AC1DFA">
        <w:rPr>
          <w:rFonts w:eastAsia="Calibri"/>
          <w:color w:val="000000"/>
          <w:szCs w:val="20"/>
        </w:rPr>
        <w:t xml:space="preserve">. not individual papers, but overall Class </w:t>
      </w:r>
      <w:proofErr w:type="spellStart"/>
      <w:r w:rsidRPr="00AC1DFA">
        <w:rPr>
          <w:rFonts w:eastAsia="Calibri"/>
          <w:color w:val="000000"/>
          <w:szCs w:val="20"/>
        </w:rPr>
        <w:t>II.i</w:t>
      </w:r>
      <w:proofErr w:type="spellEnd"/>
      <w:r w:rsidRPr="00AC1DFA">
        <w:rPr>
          <w:rFonts w:eastAsia="Calibri"/>
          <w:color w:val="000000"/>
          <w:szCs w:val="20"/>
        </w:rPr>
        <w:t xml:space="preserve">) awarded will be no less than the combined proportion of </w:t>
      </w:r>
      <w:proofErr w:type="spellStart"/>
      <w:r w:rsidRPr="00AC1DFA">
        <w:rPr>
          <w:rFonts w:eastAsia="Calibri"/>
          <w:color w:val="000000"/>
          <w:szCs w:val="20"/>
        </w:rPr>
        <w:t>Classi</w:t>
      </w:r>
      <w:proofErr w:type="spellEnd"/>
      <w:r w:rsidRPr="00AC1DFA">
        <w:rPr>
          <w:rFonts w:eastAsia="Calibri"/>
          <w:color w:val="000000"/>
          <w:szCs w:val="20"/>
        </w:rPr>
        <w:t xml:space="preserve"> I </w:t>
      </w:r>
      <w:r w:rsidRPr="00AC1DFA">
        <w:rPr>
          <w:rFonts w:eastAsia="Calibri"/>
          <w:color w:val="000000"/>
          <w:szCs w:val="20"/>
        </w:rPr>
        <w:lastRenderedPageBreak/>
        <w:t xml:space="preserve">and Class </w:t>
      </w:r>
      <w:proofErr w:type="spellStart"/>
      <w:r w:rsidRPr="00AC1DFA">
        <w:rPr>
          <w:rFonts w:eastAsia="Calibri"/>
          <w:color w:val="000000"/>
          <w:szCs w:val="20"/>
        </w:rPr>
        <w:t>II.i</w:t>
      </w:r>
      <w:proofErr w:type="spellEnd"/>
      <w:r w:rsidRPr="00AC1DFA">
        <w:rPr>
          <w:rFonts w:eastAsia="Calibri"/>
          <w:color w:val="000000"/>
          <w:szCs w:val="20"/>
        </w:rPr>
        <w:t xml:space="preserve"> overall awarded, on average, over the last three years across Course I and Course II taken </w:t>
      </w:r>
      <w:proofErr w:type="gramStart"/>
      <w:r w:rsidRPr="00AC1DFA">
        <w:rPr>
          <w:rFonts w:eastAsia="Calibri"/>
          <w:color w:val="000000"/>
          <w:szCs w:val="20"/>
        </w:rPr>
        <w:t>together;</w:t>
      </w:r>
      <w:proofErr w:type="gramEnd"/>
      <w:r w:rsidRPr="00AC1DFA">
        <w:rPr>
          <w:rFonts w:eastAsia="Calibri"/>
          <w:color w:val="000000"/>
          <w:szCs w:val="20"/>
        </w:rPr>
        <w:t xml:space="preserve"> </w:t>
      </w:r>
    </w:p>
    <w:p w14:paraId="12D4187F" w14:textId="77777777" w:rsidR="00AC1DFA" w:rsidRPr="00AC1DFA" w:rsidRDefault="00AC1DFA" w:rsidP="00AC1DFA">
      <w:pPr>
        <w:spacing w:after="0"/>
        <w:rPr>
          <w:rFonts w:eastAsia="Calibri"/>
          <w:color w:val="000000"/>
          <w:szCs w:val="20"/>
        </w:rPr>
      </w:pPr>
    </w:p>
    <w:p w14:paraId="6DBC78A1" w14:textId="77777777" w:rsidR="00AC1DFA" w:rsidRPr="00AC1DFA" w:rsidRDefault="00AC1DFA" w:rsidP="00AC1DFA">
      <w:pPr>
        <w:numPr>
          <w:ilvl w:val="0"/>
          <w:numId w:val="5"/>
        </w:numPr>
        <w:spacing w:after="0"/>
        <w:rPr>
          <w:rFonts w:eastAsia="Calibri"/>
          <w:color w:val="000000"/>
          <w:szCs w:val="20"/>
        </w:rPr>
      </w:pPr>
      <w:r w:rsidRPr="00AC1DFA">
        <w:rPr>
          <w:rFonts w:eastAsia="Calibri"/>
          <w:color w:val="000000"/>
          <w:szCs w:val="20"/>
        </w:rPr>
        <w:t xml:space="preserve">Subject to exceptional circumstances (such as incomplete scripts), the proportion of </w:t>
      </w:r>
      <w:r w:rsidRPr="00AC1DFA">
        <w:rPr>
          <w:rFonts w:eastAsia="Calibri"/>
          <w:color w:val="000000"/>
          <w:szCs w:val="20"/>
          <w:u w:val="single"/>
        </w:rPr>
        <w:t>Fail overall</w:t>
      </w:r>
      <w:r w:rsidRPr="00AC1DFA">
        <w:rPr>
          <w:rFonts w:eastAsia="Calibri"/>
          <w:color w:val="000000"/>
          <w:szCs w:val="20"/>
        </w:rPr>
        <w:t xml:space="preserve"> (</w:t>
      </w:r>
      <w:proofErr w:type="spellStart"/>
      <w:r w:rsidRPr="00AC1DFA">
        <w:rPr>
          <w:rFonts w:eastAsia="Calibri"/>
          <w:color w:val="000000"/>
          <w:szCs w:val="20"/>
        </w:rPr>
        <w:t>ie</w:t>
      </w:r>
      <w:proofErr w:type="spellEnd"/>
      <w:r w:rsidRPr="00AC1DFA">
        <w:rPr>
          <w:rFonts w:eastAsia="Calibri"/>
          <w:color w:val="000000"/>
          <w:szCs w:val="20"/>
        </w:rPr>
        <w:t>. not individual papers but overall Fail) will be no greater than the proportion of Fail overall awarded, on average, over the last three years across Course I and Course II taken together.</w:t>
      </w:r>
    </w:p>
    <w:p w14:paraId="726CB70A" w14:textId="77777777" w:rsidR="00AC1DFA" w:rsidRPr="00AC1DFA" w:rsidRDefault="00AC1DFA" w:rsidP="00AC1DFA">
      <w:pPr>
        <w:spacing w:after="0"/>
        <w:rPr>
          <w:rFonts w:eastAsia="Calibri"/>
          <w:color w:val="000000"/>
          <w:szCs w:val="20"/>
        </w:rPr>
      </w:pPr>
    </w:p>
    <w:p w14:paraId="4FB6F2E4" w14:textId="77777777" w:rsidR="00AC1DFA" w:rsidRPr="00AC1DFA" w:rsidRDefault="00AC1DFA" w:rsidP="00AC1DFA">
      <w:pPr>
        <w:spacing w:after="0"/>
        <w:rPr>
          <w:rFonts w:eastAsia="Calibri"/>
          <w:i/>
          <w:iCs/>
          <w:color w:val="000000"/>
          <w:szCs w:val="20"/>
          <w:u w:val="single"/>
        </w:rPr>
      </w:pPr>
    </w:p>
    <w:p w14:paraId="38910333" w14:textId="77777777" w:rsidR="00AC1DFA" w:rsidRPr="00AC1DFA" w:rsidRDefault="00AC1DFA" w:rsidP="00AC1DFA">
      <w:pPr>
        <w:numPr>
          <w:ilvl w:val="0"/>
          <w:numId w:val="6"/>
        </w:numPr>
        <w:spacing w:after="0"/>
        <w:rPr>
          <w:rFonts w:eastAsia="Calibri"/>
          <w:i/>
          <w:iCs/>
          <w:color w:val="000000"/>
          <w:szCs w:val="20"/>
          <w:u w:val="single"/>
        </w:rPr>
      </w:pPr>
      <w:r w:rsidRPr="00AC1DFA">
        <w:rPr>
          <w:rFonts w:eastAsia="Calibri"/>
          <w:i/>
          <w:iCs/>
          <w:color w:val="000000"/>
          <w:szCs w:val="20"/>
          <w:u w:val="single"/>
        </w:rPr>
        <w:t>Marking conventions</w:t>
      </w:r>
    </w:p>
    <w:p w14:paraId="2E34845C" w14:textId="77777777" w:rsidR="00AC1DFA" w:rsidRPr="00AC1DFA" w:rsidRDefault="00AC1DFA" w:rsidP="00AC1DFA">
      <w:pPr>
        <w:spacing w:after="0"/>
        <w:rPr>
          <w:rFonts w:eastAsia="Calibri"/>
          <w:color w:val="000000"/>
          <w:szCs w:val="20"/>
        </w:rPr>
      </w:pPr>
    </w:p>
    <w:p w14:paraId="2FC6862E" w14:textId="6BE1545A" w:rsidR="00AC1DFA" w:rsidRPr="00AC1DFA" w:rsidRDefault="00AC1DFA" w:rsidP="00AC1DFA">
      <w:pPr>
        <w:spacing w:after="0"/>
        <w:rPr>
          <w:rFonts w:eastAsia="Calibri"/>
          <w:color w:val="000000"/>
          <w:szCs w:val="20"/>
        </w:rPr>
      </w:pPr>
      <w:r w:rsidRPr="00AC1DFA">
        <w:rPr>
          <w:rFonts w:eastAsia="Calibri"/>
          <w:color w:val="000000"/>
          <w:szCs w:val="20"/>
        </w:rPr>
        <w:t xml:space="preserve">Furthermore, the marking conventions for each degree classification were lowered. </w:t>
      </w:r>
      <w:r w:rsidR="006A5F18">
        <w:rPr>
          <w:rFonts w:eastAsia="Calibri"/>
          <w:color w:val="000000"/>
          <w:szCs w:val="20"/>
        </w:rPr>
        <w:t xml:space="preserve">The most significant change was that the </w:t>
      </w:r>
      <w:r w:rsidRPr="00AC1DFA">
        <w:rPr>
          <w:rFonts w:eastAsia="Calibri"/>
          <w:color w:val="000000"/>
          <w:szCs w:val="20"/>
        </w:rPr>
        <w:t>‘no mark below’ condition of</w:t>
      </w:r>
      <w:r w:rsidR="006A5F18">
        <w:rPr>
          <w:rFonts w:eastAsia="Calibri"/>
          <w:color w:val="000000"/>
          <w:szCs w:val="20"/>
        </w:rPr>
        <w:t xml:space="preserve"> Class I and Class </w:t>
      </w:r>
      <w:proofErr w:type="spellStart"/>
      <w:r w:rsidR="006A5F18">
        <w:rPr>
          <w:rFonts w:eastAsia="Calibri"/>
          <w:color w:val="000000"/>
          <w:szCs w:val="20"/>
        </w:rPr>
        <w:t>II.i</w:t>
      </w:r>
      <w:proofErr w:type="spellEnd"/>
      <w:r w:rsidRPr="00AC1DFA">
        <w:rPr>
          <w:rFonts w:eastAsia="Calibri"/>
          <w:color w:val="000000"/>
          <w:szCs w:val="20"/>
        </w:rPr>
        <w:t xml:space="preserve"> classification was lowered by 5 marks. </w:t>
      </w:r>
      <w:r w:rsidR="006A5F18">
        <w:rPr>
          <w:rFonts w:eastAsia="Calibri"/>
          <w:color w:val="000000"/>
          <w:szCs w:val="20"/>
        </w:rPr>
        <w:t xml:space="preserve"> </w:t>
      </w:r>
    </w:p>
    <w:p w14:paraId="6E16547F" w14:textId="77777777" w:rsidR="00AC1DFA" w:rsidRPr="00AC1DFA" w:rsidRDefault="00AC1DFA" w:rsidP="00AC1DFA">
      <w:pPr>
        <w:spacing w:after="0"/>
        <w:rPr>
          <w:rFonts w:eastAsia="Calibri"/>
          <w:color w:val="000000"/>
          <w:szCs w:val="20"/>
        </w:rPr>
      </w:pPr>
    </w:p>
    <w:p w14:paraId="69B47868" w14:textId="77777777" w:rsidR="00AC1DFA" w:rsidRPr="00AC1DFA" w:rsidRDefault="00AC1DFA" w:rsidP="00AC1DFA">
      <w:pPr>
        <w:spacing w:after="0"/>
        <w:rPr>
          <w:rFonts w:eastAsia="Calibri"/>
          <w:color w:val="000000"/>
          <w:szCs w:val="20"/>
        </w:rPr>
      </w:pPr>
    </w:p>
    <w:p w14:paraId="4B7C19C1" w14:textId="77777777" w:rsidR="00AC1DFA" w:rsidRPr="00AC1DFA" w:rsidRDefault="00AC1DFA" w:rsidP="00AC1DFA">
      <w:pPr>
        <w:numPr>
          <w:ilvl w:val="0"/>
          <w:numId w:val="6"/>
        </w:numPr>
        <w:spacing w:after="0"/>
        <w:rPr>
          <w:rFonts w:eastAsia="Calibri"/>
          <w:i/>
          <w:iCs/>
          <w:color w:val="000000"/>
          <w:szCs w:val="20"/>
          <w:u w:val="single"/>
        </w:rPr>
      </w:pPr>
      <w:r w:rsidRPr="00AC1DFA">
        <w:rPr>
          <w:rFonts w:eastAsia="Calibri"/>
          <w:i/>
          <w:iCs/>
          <w:color w:val="000000"/>
          <w:szCs w:val="20"/>
          <w:u w:val="single"/>
        </w:rPr>
        <w:t>Guidance to markers</w:t>
      </w:r>
    </w:p>
    <w:p w14:paraId="72F4D122" w14:textId="77777777" w:rsidR="00AC1DFA" w:rsidRPr="00AC1DFA" w:rsidRDefault="00AC1DFA" w:rsidP="00AC1DFA">
      <w:pPr>
        <w:spacing w:after="0"/>
        <w:rPr>
          <w:rFonts w:eastAsia="Calibri"/>
          <w:color w:val="000000"/>
          <w:szCs w:val="20"/>
        </w:rPr>
      </w:pPr>
    </w:p>
    <w:p w14:paraId="35080541" w14:textId="1D506770" w:rsidR="00AC1DFA" w:rsidRPr="00AC1DFA" w:rsidRDefault="00AC1DFA" w:rsidP="00AC1DFA">
      <w:pPr>
        <w:spacing w:after="0"/>
        <w:rPr>
          <w:rFonts w:eastAsia="Calibri"/>
          <w:color w:val="000000"/>
          <w:szCs w:val="20"/>
        </w:rPr>
      </w:pPr>
      <w:r w:rsidRPr="00AC1DFA">
        <w:rPr>
          <w:rFonts w:eastAsia="Calibri"/>
          <w:color w:val="000000"/>
          <w:szCs w:val="20"/>
        </w:rPr>
        <w:t>In a communication to markers in May 2020 it was explained that the marking criteria remained the same for the 2020 cohort, and that markers should not expect papers to be of a higher standard. The following guidance was given to markers:</w:t>
      </w:r>
    </w:p>
    <w:p w14:paraId="0FBE6ADA" w14:textId="77777777" w:rsidR="00AC1DFA" w:rsidRPr="00AC1DFA" w:rsidRDefault="00AC1DFA" w:rsidP="00AC1DFA">
      <w:pPr>
        <w:spacing w:after="0"/>
        <w:rPr>
          <w:rFonts w:eastAsia="Calibri"/>
          <w:color w:val="000000"/>
          <w:szCs w:val="20"/>
        </w:rPr>
      </w:pPr>
    </w:p>
    <w:p w14:paraId="1715F7AD" w14:textId="77777777" w:rsidR="00AC1DFA" w:rsidRPr="00AC1DFA" w:rsidRDefault="00AC1DFA" w:rsidP="00AC1DFA">
      <w:pPr>
        <w:spacing w:after="0"/>
        <w:ind w:left="720"/>
        <w:rPr>
          <w:rFonts w:eastAsia="Calibri"/>
          <w:color w:val="000000"/>
          <w:szCs w:val="20"/>
        </w:rPr>
      </w:pPr>
      <w:r w:rsidRPr="00AC1DFA">
        <w:rPr>
          <w:rFonts w:eastAsia="Calibri"/>
          <w:color w:val="000000"/>
          <w:szCs w:val="20"/>
        </w:rPr>
        <w:t xml:space="preserve">“A key commitment made to this year’s finalists, as part of the Faculty’s ‘safety net’, is that the marking criteria for scripts (set out in ‘FHS Instructions to Setters and Markers’) would not change. This is a matter of fairness to candidates, given that they have prepared for a typical finals paper and have no relevant experience of open-book exams. As such, markers should apply the normal criteria for Class I, Class </w:t>
      </w:r>
      <w:proofErr w:type="spellStart"/>
      <w:proofErr w:type="gramStart"/>
      <w:r w:rsidRPr="00AC1DFA">
        <w:rPr>
          <w:rFonts w:eastAsia="Calibri"/>
          <w:color w:val="000000"/>
          <w:szCs w:val="20"/>
        </w:rPr>
        <w:t>II.i</w:t>
      </w:r>
      <w:proofErr w:type="spellEnd"/>
      <w:proofErr w:type="gramEnd"/>
      <w:r w:rsidRPr="00AC1DFA">
        <w:rPr>
          <w:rFonts w:eastAsia="Calibri"/>
          <w:color w:val="000000"/>
          <w:szCs w:val="20"/>
        </w:rPr>
        <w:t xml:space="preserve">, Class </w:t>
      </w:r>
      <w:proofErr w:type="spellStart"/>
      <w:r w:rsidRPr="00AC1DFA">
        <w:rPr>
          <w:rFonts w:eastAsia="Calibri"/>
          <w:color w:val="000000"/>
          <w:szCs w:val="20"/>
        </w:rPr>
        <w:t>II.ii</w:t>
      </w:r>
      <w:proofErr w:type="spellEnd"/>
      <w:r w:rsidRPr="00AC1DFA">
        <w:rPr>
          <w:rFonts w:eastAsia="Calibri"/>
          <w:color w:val="000000"/>
          <w:szCs w:val="20"/>
        </w:rPr>
        <w:t xml:space="preserve"> etc, as found in the FHS Instructions to Setters and Markers. </w:t>
      </w:r>
    </w:p>
    <w:p w14:paraId="40CB7074" w14:textId="77777777" w:rsidR="00AC1DFA" w:rsidRPr="00AC1DFA" w:rsidRDefault="00AC1DFA" w:rsidP="00AC1DFA">
      <w:pPr>
        <w:spacing w:after="0"/>
        <w:ind w:left="720"/>
        <w:rPr>
          <w:rFonts w:eastAsia="Calibri"/>
          <w:color w:val="000000"/>
          <w:szCs w:val="20"/>
        </w:rPr>
      </w:pPr>
    </w:p>
    <w:p w14:paraId="57A5EC5A" w14:textId="77777777" w:rsidR="00AC1DFA" w:rsidRPr="00AC1DFA" w:rsidRDefault="00AC1DFA" w:rsidP="00AC1DFA">
      <w:pPr>
        <w:spacing w:after="0"/>
        <w:ind w:left="720"/>
        <w:rPr>
          <w:rFonts w:eastAsia="Calibri"/>
          <w:color w:val="000000"/>
          <w:szCs w:val="20"/>
        </w:rPr>
      </w:pPr>
      <w:r w:rsidRPr="00AC1DFA">
        <w:rPr>
          <w:rFonts w:eastAsia="Calibri"/>
          <w:color w:val="000000"/>
          <w:szCs w:val="20"/>
        </w:rPr>
        <w:t xml:space="preserve">Furthermore, we would discourage markers from expecting papers to be of a higher quality </w:t>
      </w:r>
      <w:proofErr w:type="gramStart"/>
      <w:r w:rsidRPr="00AC1DFA">
        <w:rPr>
          <w:rFonts w:eastAsia="Calibri"/>
          <w:color w:val="000000"/>
          <w:szCs w:val="20"/>
        </w:rPr>
        <w:t>as a result of</w:t>
      </w:r>
      <w:proofErr w:type="gramEnd"/>
      <w:r w:rsidRPr="00AC1DFA">
        <w:rPr>
          <w:rFonts w:eastAsia="Calibri"/>
          <w:color w:val="000000"/>
          <w:szCs w:val="20"/>
        </w:rPr>
        <w:t xml:space="preserve"> the open-book format. Although candidates will be able to consult materials during the exam, they will have roughly the same amount of time as they would in any other year to write their answers (the additional hour permitted this year is to allow candidates to download the paper and upload their answers). Candidates are unlikely, therefore, to have time to read over their answers or check their references. As such, markers should not penalise scripts for a lack ‘polish’ unless they would have done this in a previous year.”</w:t>
      </w:r>
    </w:p>
    <w:p w14:paraId="13692D36" w14:textId="77777777" w:rsidR="00AC1DFA" w:rsidRPr="00AC1DFA" w:rsidRDefault="00AC1DFA" w:rsidP="00AC1DFA">
      <w:pPr>
        <w:spacing w:after="0"/>
        <w:rPr>
          <w:rFonts w:eastAsia="Calibri"/>
          <w:color w:val="000000"/>
          <w:szCs w:val="20"/>
        </w:rPr>
      </w:pPr>
    </w:p>
    <w:p w14:paraId="44F83567"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The same point was communicated to students, where it was explained that they should continue to revise and prepare for the exams as they would have done in any other year. Students were also directed to the University’s guidance on preparing for open-book exams. </w:t>
      </w:r>
    </w:p>
    <w:p w14:paraId="01258085" w14:textId="77777777" w:rsidR="00AC1DFA" w:rsidRPr="00AC1DFA" w:rsidRDefault="00AC1DFA" w:rsidP="00AC1DFA">
      <w:pPr>
        <w:spacing w:after="0"/>
        <w:rPr>
          <w:rFonts w:eastAsia="Calibri"/>
          <w:color w:val="000000"/>
          <w:szCs w:val="20"/>
        </w:rPr>
      </w:pPr>
    </w:p>
    <w:p w14:paraId="16C02877" w14:textId="77777777" w:rsidR="00AC1DFA" w:rsidRPr="00AC1DFA" w:rsidRDefault="00AC1DFA" w:rsidP="00AC1DFA">
      <w:pPr>
        <w:spacing w:after="0"/>
        <w:rPr>
          <w:rFonts w:eastAsia="Calibri"/>
          <w:color w:val="000000"/>
          <w:szCs w:val="20"/>
        </w:rPr>
      </w:pPr>
    </w:p>
    <w:p w14:paraId="64DD0EE8" w14:textId="77777777" w:rsidR="00AC1DFA" w:rsidRPr="00AC1DFA" w:rsidRDefault="00AC1DFA" w:rsidP="00AC1DFA">
      <w:pPr>
        <w:numPr>
          <w:ilvl w:val="0"/>
          <w:numId w:val="6"/>
        </w:numPr>
        <w:spacing w:after="0"/>
        <w:rPr>
          <w:rFonts w:eastAsia="Calibri"/>
          <w:i/>
          <w:iCs/>
          <w:color w:val="000000"/>
          <w:szCs w:val="20"/>
          <w:u w:val="single"/>
        </w:rPr>
      </w:pPr>
      <w:r w:rsidRPr="00AC1DFA">
        <w:rPr>
          <w:rFonts w:eastAsia="Calibri"/>
          <w:i/>
          <w:iCs/>
          <w:color w:val="000000"/>
          <w:szCs w:val="20"/>
          <w:u w:val="single"/>
        </w:rPr>
        <w:t xml:space="preserve">Changes in teaching, learning </w:t>
      </w:r>
      <w:proofErr w:type="gramStart"/>
      <w:r w:rsidRPr="00AC1DFA">
        <w:rPr>
          <w:rFonts w:eastAsia="Calibri"/>
          <w:i/>
          <w:iCs/>
          <w:color w:val="000000"/>
          <w:szCs w:val="20"/>
          <w:u w:val="single"/>
        </w:rPr>
        <w:t>opportunities</w:t>
      </w:r>
      <w:proofErr w:type="gramEnd"/>
    </w:p>
    <w:p w14:paraId="0F91D009" w14:textId="77777777" w:rsidR="00AC1DFA" w:rsidRPr="00AC1DFA" w:rsidRDefault="00AC1DFA" w:rsidP="00AC1DFA">
      <w:pPr>
        <w:spacing w:after="0"/>
        <w:rPr>
          <w:rFonts w:eastAsia="Calibri"/>
          <w:color w:val="000000"/>
          <w:szCs w:val="20"/>
        </w:rPr>
      </w:pPr>
    </w:p>
    <w:p w14:paraId="67E69AB8"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All FHS teaching was completed by the end of HT, meaning that candidates did not miss any learning opportunities. Revision classes continued as normal in TT, albeit that they were delivered remotely. </w:t>
      </w:r>
    </w:p>
    <w:p w14:paraId="14CA808E" w14:textId="77777777" w:rsidR="00AC1DFA" w:rsidRPr="00AC1DFA" w:rsidRDefault="00AC1DFA" w:rsidP="00AC1DFA">
      <w:pPr>
        <w:spacing w:after="0"/>
        <w:rPr>
          <w:rFonts w:eastAsia="Calibri"/>
          <w:color w:val="000000"/>
          <w:szCs w:val="20"/>
        </w:rPr>
      </w:pPr>
    </w:p>
    <w:p w14:paraId="37B276CB" w14:textId="77777777" w:rsidR="00AC1DFA" w:rsidRPr="00AC1DFA" w:rsidRDefault="00AC1DFA" w:rsidP="00AC1DFA">
      <w:pPr>
        <w:spacing w:after="0"/>
        <w:rPr>
          <w:rFonts w:eastAsia="Calibri"/>
          <w:color w:val="000000"/>
          <w:szCs w:val="20"/>
        </w:rPr>
      </w:pPr>
    </w:p>
    <w:p w14:paraId="54840DDB" w14:textId="77777777" w:rsidR="00AC1DFA" w:rsidRPr="00AC1DFA" w:rsidRDefault="00AC1DFA" w:rsidP="00AC1DFA">
      <w:pPr>
        <w:numPr>
          <w:ilvl w:val="0"/>
          <w:numId w:val="6"/>
        </w:numPr>
        <w:spacing w:after="0"/>
        <w:rPr>
          <w:rFonts w:eastAsia="Calibri"/>
          <w:i/>
          <w:iCs/>
          <w:color w:val="000000"/>
          <w:szCs w:val="20"/>
          <w:u w:val="single"/>
        </w:rPr>
      </w:pPr>
      <w:r w:rsidRPr="00AC1DFA">
        <w:rPr>
          <w:rFonts w:eastAsia="Calibri"/>
          <w:i/>
          <w:iCs/>
          <w:color w:val="000000"/>
          <w:szCs w:val="20"/>
          <w:u w:val="single"/>
        </w:rPr>
        <w:t>Materials available to candidates</w:t>
      </w:r>
    </w:p>
    <w:p w14:paraId="691468AB" w14:textId="77777777" w:rsidR="00AC1DFA" w:rsidRPr="00AC1DFA" w:rsidRDefault="00AC1DFA" w:rsidP="00AC1DFA">
      <w:pPr>
        <w:spacing w:after="0"/>
        <w:rPr>
          <w:rFonts w:eastAsia="Calibri"/>
          <w:i/>
          <w:iCs/>
          <w:color w:val="000000"/>
          <w:szCs w:val="20"/>
          <w:u w:val="single"/>
        </w:rPr>
      </w:pPr>
    </w:p>
    <w:p w14:paraId="4F00475B"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In our communication to setters in April 2020, setters were asked to identify core materials that were not available in electronic form. Furthermore, setters were asked to avoid setting </w:t>
      </w:r>
      <w:r w:rsidRPr="00AC1DFA">
        <w:rPr>
          <w:rFonts w:eastAsia="Calibri"/>
          <w:color w:val="000000"/>
          <w:szCs w:val="20"/>
        </w:rPr>
        <w:lastRenderedPageBreak/>
        <w:t>questions that were predominantly about, or required significant knowledge of, resources not available to candidates.</w:t>
      </w:r>
    </w:p>
    <w:p w14:paraId="58BE42BA" w14:textId="77777777" w:rsidR="00AC1DFA" w:rsidRPr="00AC1DFA" w:rsidRDefault="00AC1DFA" w:rsidP="00AC1DFA">
      <w:pPr>
        <w:spacing w:after="0"/>
        <w:rPr>
          <w:rFonts w:eastAsia="Calibri"/>
          <w:color w:val="000000"/>
          <w:szCs w:val="20"/>
        </w:rPr>
      </w:pPr>
    </w:p>
    <w:p w14:paraId="1612BD27"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We reviewed core paper reading lists and were of the view that </w:t>
      </w:r>
      <w:proofErr w:type="gramStart"/>
      <w:r w:rsidRPr="00AC1DFA">
        <w:rPr>
          <w:rFonts w:eastAsia="Calibri"/>
          <w:color w:val="000000"/>
          <w:szCs w:val="20"/>
        </w:rPr>
        <w:t>the vast majority of</w:t>
      </w:r>
      <w:proofErr w:type="gramEnd"/>
      <w:r w:rsidRPr="00AC1DFA">
        <w:rPr>
          <w:rFonts w:eastAsia="Calibri"/>
          <w:color w:val="000000"/>
          <w:szCs w:val="20"/>
        </w:rPr>
        <w:t xml:space="preserve"> core materials (mainly cases and academic articles) were available on-line. The only subject that was a cause for concern was Jurisprudence, which relies heavily on academic monographs. Paul Burns worked with the Bodleian to ensure that most of these monographs were made available online.</w:t>
      </w:r>
    </w:p>
    <w:p w14:paraId="67EF4400" w14:textId="77777777" w:rsidR="00AC1DFA" w:rsidRPr="00AC1DFA" w:rsidRDefault="00AC1DFA" w:rsidP="00AC1DFA">
      <w:pPr>
        <w:spacing w:after="0"/>
        <w:rPr>
          <w:rFonts w:eastAsia="Calibri"/>
          <w:color w:val="000000"/>
          <w:szCs w:val="20"/>
        </w:rPr>
      </w:pPr>
    </w:p>
    <w:p w14:paraId="6110B51A"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Paul Burns also did a lot of work auditing reading lists for options. Again, most material was available in electronic form. Possible problems were highlighted in respect of History of English Law and Criminology, and I contacted the convenors of each subject. For </w:t>
      </w:r>
      <w:proofErr w:type="gramStart"/>
      <w:r w:rsidRPr="00AC1DFA">
        <w:rPr>
          <w:rFonts w:eastAsia="Calibri"/>
          <w:color w:val="000000"/>
          <w:szCs w:val="20"/>
        </w:rPr>
        <w:t>Criminology</w:t>
      </w:r>
      <w:proofErr w:type="gramEnd"/>
      <w:r w:rsidRPr="00AC1DFA">
        <w:rPr>
          <w:rFonts w:eastAsia="Calibri"/>
          <w:color w:val="000000"/>
          <w:szCs w:val="20"/>
        </w:rPr>
        <w:t xml:space="preserve"> the convenors were able to upload most material online. As to History of English Law, the convenors said that the core texts (Baker’s IELH and Baker &amp; Milsom Sources of English Legal History) were available online, as well as most cases and statutes. There were some sources that were not </w:t>
      </w:r>
      <w:proofErr w:type="gramStart"/>
      <w:r w:rsidRPr="00AC1DFA">
        <w:rPr>
          <w:rFonts w:eastAsia="Calibri"/>
          <w:color w:val="000000"/>
          <w:szCs w:val="20"/>
        </w:rPr>
        <w:t>available, but</w:t>
      </w:r>
      <w:proofErr w:type="gramEnd"/>
      <w:r w:rsidRPr="00AC1DFA">
        <w:rPr>
          <w:rFonts w:eastAsia="Calibri"/>
          <w:color w:val="000000"/>
          <w:szCs w:val="20"/>
        </w:rPr>
        <w:t xml:space="preserve"> were of the view that there was enough for candidates to be able to prepare properly for the exam. </w:t>
      </w:r>
    </w:p>
    <w:p w14:paraId="59007F02" w14:textId="77777777" w:rsidR="00AC1DFA" w:rsidRPr="00AC1DFA" w:rsidRDefault="00AC1DFA" w:rsidP="00AC1DFA">
      <w:pPr>
        <w:spacing w:after="0"/>
        <w:rPr>
          <w:rFonts w:eastAsia="Calibri"/>
          <w:color w:val="000000"/>
          <w:szCs w:val="20"/>
        </w:rPr>
      </w:pPr>
    </w:p>
    <w:p w14:paraId="03156465"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As to materials made available in the exams, Blackstone’s Statutes were made available in electronic form to candidates. Case-lists were deposited in a file on </w:t>
      </w:r>
      <w:proofErr w:type="spellStart"/>
      <w:r w:rsidRPr="00AC1DFA">
        <w:rPr>
          <w:rFonts w:eastAsia="Calibri"/>
          <w:color w:val="000000"/>
          <w:szCs w:val="20"/>
        </w:rPr>
        <w:t>weblearn</w:t>
      </w:r>
      <w:proofErr w:type="spellEnd"/>
      <w:r w:rsidRPr="00AC1DFA">
        <w:rPr>
          <w:rFonts w:eastAsia="Calibri"/>
          <w:color w:val="000000"/>
          <w:szCs w:val="20"/>
        </w:rPr>
        <w:t xml:space="preserve">. Where papers had bespoke statutes bundles, these were also made available to candidates. Of course, as the exams were open-book format, there was no restriction on the materials that candidates could prepare themselves. </w:t>
      </w:r>
    </w:p>
    <w:p w14:paraId="66B9230C" w14:textId="77777777" w:rsidR="00AC1DFA" w:rsidRPr="00AC1DFA" w:rsidRDefault="00AC1DFA" w:rsidP="00AC1DFA">
      <w:pPr>
        <w:spacing w:after="0"/>
        <w:rPr>
          <w:rFonts w:eastAsia="Calibri"/>
          <w:color w:val="000000"/>
          <w:szCs w:val="20"/>
        </w:rPr>
      </w:pPr>
    </w:p>
    <w:p w14:paraId="67827194" w14:textId="77777777" w:rsidR="00AC1DFA" w:rsidRPr="00AC1DFA" w:rsidRDefault="00AC1DFA" w:rsidP="00AC1DFA">
      <w:pPr>
        <w:spacing w:after="0"/>
        <w:rPr>
          <w:rFonts w:eastAsia="Calibri"/>
          <w:color w:val="000000"/>
          <w:szCs w:val="20"/>
        </w:rPr>
      </w:pPr>
    </w:p>
    <w:p w14:paraId="124C3307" w14:textId="77777777" w:rsidR="00AC1DFA" w:rsidRPr="009F476E" w:rsidRDefault="00AC1DFA" w:rsidP="00AC1DFA">
      <w:pPr>
        <w:numPr>
          <w:ilvl w:val="0"/>
          <w:numId w:val="4"/>
        </w:numPr>
        <w:spacing w:after="0"/>
        <w:rPr>
          <w:rFonts w:eastAsia="Calibri"/>
          <w:b/>
          <w:bCs/>
          <w:color w:val="000000"/>
          <w:szCs w:val="20"/>
          <w:u w:val="single"/>
        </w:rPr>
      </w:pPr>
      <w:r w:rsidRPr="009F476E">
        <w:rPr>
          <w:rFonts w:eastAsia="Calibri"/>
          <w:b/>
          <w:bCs/>
          <w:color w:val="000000"/>
          <w:szCs w:val="20"/>
          <w:u w:val="single"/>
        </w:rPr>
        <w:t>Operation of Exams</w:t>
      </w:r>
    </w:p>
    <w:p w14:paraId="104E5B7A" w14:textId="77777777" w:rsidR="00AC1DFA" w:rsidRPr="00AC1DFA" w:rsidRDefault="00AC1DFA" w:rsidP="00AC1DFA">
      <w:pPr>
        <w:spacing w:after="0"/>
        <w:rPr>
          <w:rFonts w:eastAsia="Calibri"/>
          <w:color w:val="000000"/>
          <w:szCs w:val="20"/>
        </w:rPr>
      </w:pPr>
    </w:p>
    <w:p w14:paraId="2918192F" w14:textId="313CF892" w:rsidR="00AC1DFA" w:rsidRPr="00AC1DFA" w:rsidRDefault="00AC1DFA" w:rsidP="00AC1DFA">
      <w:pPr>
        <w:spacing w:after="0"/>
        <w:rPr>
          <w:rFonts w:eastAsia="Calibri"/>
          <w:color w:val="000000"/>
          <w:szCs w:val="20"/>
        </w:rPr>
      </w:pPr>
      <w:r w:rsidRPr="00AC1DFA">
        <w:rPr>
          <w:rFonts w:eastAsia="Calibri"/>
          <w:color w:val="000000"/>
          <w:szCs w:val="20"/>
        </w:rPr>
        <w:t>Difficulties were encountered in the first few days of the exam period. There was a specific issue with the La</w:t>
      </w:r>
      <w:r w:rsidR="00B202B4">
        <w:rPr>
          <w:rFonts w:eastAsia="Calibri"/>
          <w:color w:val="000000"/>
          <w:szCs w:val="20"/>
        </w:rPr>
        <w:t>nd</w:t>
      </w:r>
      <w:r w:rsidRPr="00AC1DFA">
        <w:rPr>
          <w:rFonts w:eastAsia="Calibri"/>
          <w:color w:val="000000"/>
          <w:szCs w:val="20"/>
        </w:rPr>
        <w:t xml:space="preserve"> law paper as it contained the incorrect rubric (it required candidates to answer 2 problem questions rather than 1). There was no way of communicating this mistake to candidates taking the paper in GMT time, as we had instructed them to turn off their emails during the exam. After the exam, the Board decided to apply a special marking convention to the Land law paper, whereby: (1) If a candidate had answered 2 PQs and their lowest mark was a PQ then this would be replaced with an average of the other 3; and (2) If a candidate had applied the real rubric and answered only 1 PQ then that would not be treated as a beach. The Board also accepted that these conventions may not reduce all unfairness, as the mistake may have caused confusion and anxiety that would have had a more general impact upon the paper. The Board, therefore, paid close attention to mitigating circumstances which referred to the Land law exam, and borderline candidates where the Land law paper was a sensitive mark. </w:t>
      </w:r>
    </w:p>
    <w:p w14:paraId="1C8AECF4" w14:textId="77777777" w:rsidR="00AC1DFA" w:rsidRPr="00AC1DFA" w:rsidRDefault="00AC1DFA" w:rsidP="00AC1DFA">
      <w:pPr>
        <w:spacing w:after="0"/>
        <w:rPr>
          <w:rFonts w:eastAsia="Calibri"/>
          <w:color w:val="000000"/>
          <w:szCs w:val="20"/>
        </w:rPr>
      </w:pPr>
    </w:p>
    <w:p w14:paraId="18B10E0E" w14:textId="10A82A17" w:rsidR="00AC1DFA" w:rsidRPr="00AC1DFA" w:rsidRDefault="00AC1DFA" w:rsidP="00AC1DFA">
      <w:pPr>
        <w:spacing w:after="0"/>
        <w:rPr>
          <w:rFonts w:eastAsia="Calibri"/>
          <w:color w:val="000000"/>
          <w:szCs w:val="20"/>
        </w:rPr>
      </w:pPr>
      <w:r w:rsidRPr="00AC1DFA">
        <w:rPr>
          <w:rFonts w:eastAsia="Calibri"/>
          <w:color w:val="000000"/>
          <w:szCs w:val="20"/>
        </w:rPr>
        <w:t xml:space="preserve">A further issue was encountered with Criminal law, a paper sat by candidates who are reading for Law as a second BA. Unfortunately, the 2019 paper was made available to these candidates. Most candidates spotted to error quickly and the correct paper was </w:t>
      </w:r>
      <w:proofErr w:type="gramStart"/>
      <w:r w:rsidRPr="00AC1DFA">
        <w:rPr>
          <w:rFonts w:eastAsia="Calibri"/>
          <w:color w:val="000000"/>
          <w:szCs w:val="20"/>
        </w:rPr>
        <w:t>uploaded</w:t>
      </w:r>
      <w:proofErr w:type="gramEnd"/>
      <w:r w:rsidRPr="00AC1DFA">
        <w:rPr>
          <w:rFonts w:eastAsia="Calibri"/>
          <w:color w:val="000000"/>
          <w:szCs w:val="20"/>
        </w:rPr>
        <w:t xml:space="preserve"> and the 4-hour time re-started.</w:t>
      </w:r>
    </w:p>
    <w:p w14:paraId="5B74F884" w14:textId="77777777" w:rsidR="00AC1DFA" w:rsidRPr="00AC1DFA" w:rsidRDefault="00AC1DFA" w:rsidP="00AC1DFA">
      <w:pPr>
        <w:spacing w:after="0"/>
        <w:rPr>
          <w:rFonts w:eastAsia="Calibri"/>
          <w:color w:val="000000"/>
          <w:szCs w:val="20"/>
        </w:rPr>
      </w:pPr>
    </w:p>
    <w:p w14:paraId="316EBA18" w14:textId="77777777" w:rsidR="00AC1DFA" w:rsidRPr="00AC1DFA" w:rsidRDefault="00AC1DFA" w:rsidP="00AC1DFA">
      <w:pPr>
        <w:spacing w:after="0"/>
        <w:rPr>
          <w:rFonts w:eastAsia="Calibri"/>
          <w:color w:val="000000"/>
          <w:szCs w:val="20"/>
        </w:rPr>
      </w:pPr>
      <w:r w:rsidRPr="00AC1DFA">
        <w:rPr>
          <w:rFonts w:eastAsia="Calibri"/>
          <w:color w:val="000000"/>
          <w:szCs w:val="20"/>
        </w:rPr>
        <w:t>Following these problems there was an urgent review of all papers that had been uploaded to the Examination School’s website, to ensure correctness. No further issues of this type arose for the remainder of the exam period.</w:t>
      </w:r>
    </w:p>
    <w:p w14:paraId="7FE5F1E6" w14:textId="77777777" w:rsidR="00AC1DFA" w:rsidRPr="00AC1DFA" w:rsidRDefault="00AC1DFA" w:rsidP="00AC1DFA">
      <w:pPr>
        <w:spacing w:after="0"/>
        <w:rPr>
          <w:rFonts w:eastAsia="Calibri"/>
          <w:color w:val="000000"/>
          <w:szCs w:val="20"/>
        </w:rPr>
      </w:pPr>
    </w:p>
    <w:p w14:paraId="337DF3D3" w14:textId="77777777" w:rsidR="00AC1DFA" w:rsidRPr="00AC1DFA" w:rsidRDefault="00AC1DFA" w:rsidP="00AC1DFA">
      <w:pPr>
        <w:spacing w:after="0"/>
        <w:rPr>
          <w:rFonts w:eastAsia="Calibri"/>
          <w:color w:val="000000"/>
          <w:szCs w:val="20"/>
        </w:rPr>
      </w:pPr>
    </w:p>
    <w:p w14:paraId="01FFB575" w14:textId="77777777" w:rsidR="00AC1DFA" w:rsidRPr="009F476E" w:rsidRDefault="00AC1DFA" w:rsidP="00AC1DFA">
      <w:pPr>
        <w:numPr>
          <w:ilvl w:val="0"/>
          <w:numId w:val="4"/>
        </w:numPr>
        <w:spacing w:after="0"/>
        <w:rPr>
          <w:rFonts w:eastAsia="Calibri"/>
          <w:b/>
          <w:bCs/>
          <w:color w:val="000000"/>
          <w:szCs w:val="20"/>
          <w:u w:val="single"/>
        </w:rPr>
      </w:pPr>
      <w:r w:rsidRPr="009F476E">
        <w:rPr>
          <w:rFonts w:eastAsia="Calibri"/>
          <w:b/>
          <w:bCs/>
          <w:color w:val="000000"/>
          <w:szCs w:val="20"/>
          <w:u w:val="single"/>
        </w:rPr>
        <w:t>Procedure of the Exam Board</w:t>
      </w:r>
    </w:p>
    <w:p w14:paraId="49E0E7C6" w14:textId="77777777" w:rsidR="00AC1DFA" w:rsidRPr="00AC1DFA" w:rsidRDefault="00AC1DFA" w:rsidP="00AC1DFA">
      <w:pPr>
        <w:spacing w:after="0"/>
        <w:rPr>
          <w:rFonts w:eastAsia="Calibri"/>
          <w:color w:val="000000"/>
          <w:szCs w:val="20"/>
        </w:rPr>
      </w:pPr>
    </w:p>
    <w:p w14:paraId="54287F75"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The final significant change concerned the procedure for consideration of Mitigating Circumstances (MCEs) by the Exam Board in its final marks meeting. In addition to </w:t>
      </w:r>
      <w:r w:rsidRPr="00AC1DFA">
        <w:rPr>
          <w:rFonts w:eastAsia="Calibri"/>
          <w:color w:val="000000"/>
          <w:szCs w:val="20"/>
        </w:rPr>
        <w:lastRenderedPageBreak/>
        <w:t xml:space="preserve">consideration of individual MCEs, the updated Regulations (Exams and Assessment Framework para 11.7.3) meant that the Board had to identify what impact the COVID pandemic has had upon the </w:t>
      </w:r>
      <w:proofErr w:type="gramStart"/>
      <w:r w:rsidRPr="00AC1DFA">
        <w:rPr>
          <w:rFonts w:eastAsia="Calibri"/>
          <w:color w:val="000000"/>
          <w:szCs w:val="20"/>
        </w:rPr>
        <w:t>cohort as a whole</w:t>
      </w:r>
      <w:proofErr w:type="gramEnd"/>
      <w:r w:rsidRPr="00AC1DFA">
        <w:rPr>
          <w:rFonts w:eastAsia="Calibri"/>
          <w:color w:val="000000"/>
          <w:szCs w:val="20"/>
        </w:rPr>
        <w:t xml:space="preserve">. </w:t>
      </w:r>
    </w:p>
    <w:p w14:paraId="30AE84E5" w14:textId="77777777" w:rsidR="00AC1DFA" w:rsidRPr="00AC1DFA" w:rsidRDefault="00AC1DFA" w:rsidP="00AC1DFA">
      <w:pPr>
        <w:spacing w:after="0"/>
        <w:rPr>
          <w:rFonts w:eastAsia="Calibri"/>
          <w:color w:val="000000"/>
          <w:szCs w:val="20"/>
        </w:rPr>
      </w:pPr>
    </w:p>
    <w:p w14:paraId="322D136B" w14:textId="129E76EB" w:rsidR="00AC1DFA" w:rsidRPr="00AC1DFA" w:rsidRDefault="00AC1DFA" w:rsidP="00AC1DFA">
      <w:pPr>
        <w:spacing w:after="0"/>
        <w:rPr>
          <w:rFonts w:eastAsia="Calibri"/>
          <w:color w:val="000000"/>
          <w:szCs w:val="20"/>
        </w:rPr>
      </w:pPr>
      <w:r w:rsidRPr="00AC1DFA">
        <w:rPr>
          <w:rFonts w:eastAsia="Calibri"/>
          <w:color w:val="000000"/>
          <w:szCs w:val="20"/>
        </w:rPr>
        <w:t xml:space="preserve">At the beginning of the final marks meeting, the Board considered the steps taken (as detailed above) to mitigate the disruption caused by Covid-19. Furthermore, at this stage we had a preliminary view of the likely proportion of Class I and Class </w:t>
      </w:r>
      <w:proofErr w:type="spellStart"/>
      <w:r w:rsidRPr="00AC1DFA">
        <w:rPr>
          <w:rFonts w:eastAsia="Calibri"/>
          <w:color w:val="000000"/>
          <w:szCs w:val="20"/>
        </w:rPr>
        <w:t>II.i</w:t>
      </w:r>
      <w:proofErr w:type="spellEnd"/>
      <w:r w:rsidRPr="00AC1DFA">
        <w:rPr>
          <w:rFonts w:eastAsia="Calibri"/>
          <w:color w:val="000000"/>
          <w:szCs w:val="20"/>
        </w:rPr>
        <w:t xml:space="preserve"> </w:t>
      </w:r>
      <w:proofErr w:type="gramStart"/>
      <w:r w:rsidRPr="00AC1DFA">
        <w:rPr>
          <w:rFonts w:eastAsia="Calibri"/>
          <w:color w:val="000000"/>
          <w:szCs w:val="20"/>
        </w:rPr>
        <w:t>degrees, and</w:t>
      </w:r>
      <w:proofErr w:type="gramEnd"/>
      <w:r w:rsidRPr="00AC1DFA">
        <w:rPr>
          <w:rFonts w:eastAsia="Calibri"/>
          <w:color w:val="000000"/>
          <w:szCs w:val="20"/>
        </w:rPr>
        <w:t xml:space="preserve"> noted that the 2020 cohort appeared to have performed better than </w:t>
      </w:r>
      <w:proofErr w:type="spellStart"/>
      <w:r w:rsidRPr="00AC1DFA">
        <w:rPr>
          <w:rFonts w:eastAsia="Calibri"/>
          <w:color w:val="000000"/>
          <w:szCs w:val="20"/>
        </w:rPr>
        <w:t>pervious</w:t>
      </w:r>
      <w:proofErr w:type="spellEnd"/>
      <w:r w:rsidRPr="00AC1DFA">
        <w:rPr>
          <w:rFonts w:eastAsia="Calibri"/>
          <w:color w:val="000000"/>
          <w:szCs w:val="20"/>
        </w:rPr>
        <w:t xml:space="preserve"> years. </w:t>
      </w:r>
      <w:proofErr w:type="gramStart"/>
      <w:r w:rsidRPr="00AC1DFA">
        <w:rPr>
          <w:rFonts w:eastAsia="Calibri"/>
          <w:color w:val="000000"/>
          <w:szCs w:val="20"/>
        </w:rPr>
        <w:t>In light of</w:t>
      </w:r>
      <w:proofErr w:type="gramEnd"/>
      <w:r w:rsidRPr="00AC1DFA">
        <w:rPr>
          <w:rFonts w:eastAsia="Calibri"/>
          <w:color w:val="000000"/>
          <w:szCs w:val="20"/>
        </w:rPr>
        <w:t xml:space="preserve"> this the Board was confident that sufficient steps had been taken to minimise the disruptions experience</w:t>
      </w:r>
      <w:r w:rsidR="006A5F18">
        <w:rPr>
          <w:rFonts w:eastAsia="Calibri"/>
          <w:color w:val="000000"/>
          <w:szCs w:val="20"/>
        </w:rPr>
        <w:t>d</w:t>
      </w:r>
      <w:r w:rsidRPr="00AC1DFA">
        <w:rPr>
          <w:rFonts w:eastAsia="Calibri"/>
          <w:color w:val="000000"/>
          <w:szCs w:val="20"/>
        </w:rPr>
        <w:t xml:space="preserve"> this year.</w:t>
      </w:r>
    </w:p>
    <w:p w14:paraId="064EBBA1" w14:textId="77777777" w:rsidR="00AC1DFA" w:rsidRPr="00AC1DFA" w:rsidRDefault="00AC1DFA" w:rsidP="00AC1DFA">
      <w:pPr>
        <w:spacing w:after="0"/>
        <w:rPr>
          <w:rFonts w:eastAsia="Calibri"/>
          <w:color w:val="000000"/>
          <w:szCs w:val="20"/>
        </w:rPr>
      </w:pPr>
    </w:p>
    <w:p w14:paraId="1580B51B"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In terms of consideration of individual MCEs, there were considerably more MCEs this year (approximately 120) than in previous years. Prior to the final marks meeting, the chair of the Board read through all MCEs. The members of the Board were then divided into groups of two, and each group assigned 20-30 MCEs to review and record comments upon. During the final meeting, for each candidate with an MCE application, the application was noted before consideration of the candidate’s marks. </w:t>
      </w:r>
    </w:p>
    <w:p w14:paraId="05B08755" w14:textId="77777777" w:rsidR="00AC1DFA" w:rsidRPr="00AC1DFA" w:rsidRDefault="00AC1DFA" w:rsidP="00AC1DFA">
      <w:pPr>
        <w:spacing w:after="0"/>
        <w:rPr>
          <w:rFonts w:eastAsia="Calibri"/>
          <w:color w:val="000000"/>
          <w:szCs w:val="20"/>
        </w:rPr>
      </w:pPr>
    </w:p>
    <w:p w14:paraId="60447608" w14:textId="77777777" w:rsidR="00AC1DFA" w:rsidRPr="00AC1DFA" w:rsidRDefault="00AC1DFA" w:rsidP="00AC1DFA">
      <w:pPr>
        <w:spacing w:after="0"/>
        <w:rPr>
          <w:rFonts w:eastAsia="Calibri"/>
          <w:color w:val="000000"/>
          <w:szCs w:val="20"/>
        </w:rPr>
      </w:pPr>
      <w:r w:rsidRPr="00AC1DFA">
        <w:rPr>
          <w:rFonts w:eastAsia="Calibri"/>
          <w:color w:val="000000"/>
          <w:szCs w:val="20"/>
        </w:rPr>
        <w:t>Apart from these changes, the Board conducted its business in the normal way.</w:t>
      </w:r>
    </w:p>
    <w:p w14:paraId="3D710CEA" w14:textId="77777777" w:rsidR="00AC1DFA" w:rsidRPr="00AC1DFA" w:rsidRDefault="00AC1DFA" w:rsidP="00AC1DFA">
      <w:pPr>
        <w:spacing w:after="0"/>
        <w:rPr>
          <w:rFonts w:eastAsia="Calibri"/>
          <w:color w:val="000000"/>
          <w:szCs w:val="20"/>
        </w:rPr>
      </w:pPr>
    </w:p>
    <w:p w14:paraId="35093816" w14:textId="77777777" w:rsidR="00AC1DFA" w:rsidRPr="00AC1DFA" w:rsidRDefault="00AC1DFA" w:rsidP="00AC1DFA">
      <w:pPr>
        <w:spacing w:after="0"/>
        <w:rPr>
          <w:rFonts w:eastAsia="Calibri"/>
          <w:color w:val="000000"/>
          <w:szCs w:val="20"/>
        </w:rPr>
      </w:pPr>
    </w:p>
    <w:p w14:paraId="3DB97DFB" w14:textId="77777777" w:rsidR="00AC1DFA" w:rsidRPr="009F476E" w:rsidRDefault="00AC1DFA" w:rsidP="00AC1DFA">
      <w:pPr>
        <w:numPr>
          <w:ilvl w:val="0"/>
          <w:numId w:val="4"/>
        </w:numPr>
        <w:spacing w:after="0"/>
        <w:rPr>
          <w:rFonts w:eastAsia="Calibri"/>
          <w:b/>
          <w:bCs/>
          <w:color w:val="000000"/>
          <w:szCs w:val="20"/>
          <w:u w:val="single"/>
        </w:rPr>
      </w:pPr>
      <w:r w:rsidRPr="009F476E">
        <w:rPr>
          <w:rFonts w:eastAsia="Calibri"/>
          <w:b/>
          <w:bCs/>
          <w:color w:val="000000"/>
          <w:szCs w:val="20"/>
          <w:u w:val="single"/>
        </w:rPr>
        <w:t>Future changes</w:t>
      </w:r>
    </w:p>
    <w:p w14:paraId="1022E5CC" w14:textId="77777777" w:rsidR="00AC1DFA" w:rsidRPr="00AC1DFA" w:rsidRDefault="00AC1DFA" w:rsidP="00AC1DFA">
      <w:pPr>
        <w:spacing w:after="0"/>
        <w:rPr>
          <w:rFonts w:eastAsia="Calibri"/>
          <w:color w:val="000000"/>
          <w:szCs w:val="20"/>
        </w:rPr>
      </w:pPr>
    </w:p>
    <w:p w14:paraId="25D66DE5" w14:textId="77777777" w:rsidR="00AC1DFA" w:rsidRPr="00AC1DFA" w:rsidRDefault="00AC1DFA" w:rsidP="00AC1DFA">
      <w:pPr>
        <w:spacing w:after="0"/>
        <w:rPr>
          <w:rFonts w:eastAsia="Calibri"/>
          <w:color w:val="000000"/>
          <w:szCs w:val="20"/>
        </w:rPr>
      </w:pPr>
    </w:p>
    <w:p w14:paraId="2E42B92B" w14:textId="77777777" w:rsidR="00AC1DFA" w:rsidRPr="00AC1DFA" w:rsidRDefault="00AC1DFA" w:rsidP="00AC1DFA">
      <w:pPr>
        <w:spacing w:after="0"/>
        <w:rPr>
          <w:rFonts w:eastAsia="Calibri"/>
          <w:color w:val="000000"/>
          <w:szCs w:val="20"/>
        </w:rPr>
      </w:pPr>
      <w:r w:rsidRPr="00AC1DFA">
        <w:rPr>
          <w:rFonts w:eastAsia="Calibri"/>
          <w:color w:val="000000"/>
          <w:szCs w:val="20"/>
        </w:rPr>
        <w:t xml:space="preserve">Should finals be taken remotely in 2021, a system needs to be put in place that will allow setters of papers to communicate with candidates during the exam. In a normal </w:t>
      </w:r>
      <w:proofErr w:type="gramStart"/>
      <w:r w:rsidRPr="00AC1DFA">
        <w:rPr>
          <w:rFonts w:eastAsia="Calibri"/>
          <w:color w:val="000000"/>
          <w:szCs w:val="20"/>
        </w:rPr>
        <w:t>year</w:t>
      </w:r>
      <w:proofErr w:type="gramEnd"/>
      <w:r w:rsidRPr="00AC1DFA">
        <w:rPr>
          <w:rFonts w:eastAsia="Calibri"/>
          <w:color w:val="000000"/>
          <w:szCs w:val="20"/>
        </w:rPr>
        <w:t xml:space="preserve"> the setter of a paper will attend the beginning of their exam to conduct a final check of the paper and answer questions should issues arise. The move to an online format this year meant that we lost the benefit of this procedure. Furthermore, we had instructed candidates to turn off their email during the exams, meaning that there was no way to communicate corrections during the Land Law and Criminal Law papers. If online exams are held in 2021 then we should ask the Examinations School should put in place a means of communicating with candidates during the exam. </w:t>
      </w:r>
    </w:p>
    <w:p w14:paraId="50C66B54" w14:textId="77777777" w:rsidR="00AC1DFA" w:rsidRPr="00AC1DFA" w:rsidRDefault="00AC1DFA" w:rsidP="00AC1DFA">
      <w:pPr>
        <w:spacing w:after="0"/>
        <w:rPr>
          <w:rFonts w:eastAsia="Calibri"/>
          <w:color w:val="000000"/>
          <w:szCs w:val="20"/>
        </w:rPr>
      </w:pPr>
    </w:p>
    <w:p w14:paraId="67106502" w14:textId="77777777" w:rsidR="00AC1DFA" w:rsidRPr="00AC1DFA" w:rsidRDefault="00AC1DFA" w:rsidP="00AC1DFA">
      <w:pPr>
        <w:spacing w:after="0"/>
        <w:rPr>
          <w:rFonts w:eastAsia="Calibri"/>
          <w:color w:val="000000"/>
          <w:szCs w:val="20"/>
        </w:rPr>
      </w:pPr>
    </w:p>
    <w:p w14:paraId="7AFFE25A" w14:textId="77777777" w:rsidR="00AC1DFA" w:rsidRPr="00AC1DFA" w:rsidRDefault="00AC1DFA" w:rsidP="00AC1DFA">
      <w:pPr>
        <w:spacing w:after="0"/>
        <w:rPr>
          <w:rFonts w:eastAsia="Calibri"/>
          <w:color w:val="000000"/>
          <w:szCs w:val="20"/>
        </w:rPr>
      </w:pPr>
    </w:p>
    <w:p w14:paraId="459B94BA" w14:textId="77777777" w:rsidR="00AC1DFA" w:rsidRPr="009F476E" w:rsidRDefault="00AC1DFA" w:rsidP="00AC1DFA">
      <w:pPr>
        <w:numPr>
          <w:ilvl w:val="0"/>
          <w:numId w:val="4"/>
        </w:numPr>
        <w:spacing w:after="0"/>
        <w:rPr>
          <w:rFonts w:eastAsia="Calibri"/>
          <w:b/>
          <w:bCs/>
          <w:color w:val="000000"/>
          <w:szCs w:val="20"/>
          <w:u w:val="single"/>
        </w:rPr>
      </w:pPr>
      <w:r w:rsidRPr="009F476E">
        <w:rPr>
          <w:rFonts w:eastAsia="Calibri"/>
          <w:b/>
          <w:bCs/>
          <w:color w:val="000000"/>
          <w:szCs w:val="20"/>
          <w:u w:val="single"/>
        </w:rPr>
        <w:t>Thanks</w:t>
      </w:r>
    </w:p>
    <w:p w14:paraId="7CA56B20" w14:textId="77777777" w:rsidR="00AC1DFA" w:rsidRPr="00AC1DFA" w:rsidRDefault="00AC1DFA" w:rsidP="00AC1DFA">
      <w:pPr>
        <w:spacing w:after="0"/>
        <w:rPr>
          <w:rFonts w:eastAsia="Calibri"/>
          <w:color w:val="000000"/>
          <w:szCs w:val="20"/>
        </w:rPr>
      </w:pPr>
    </w:p>
    <w:p w14:paraId="710B965F" w14:textId="32DB3DB0" w:rsidR="00AC1DFA" w:rsidRPr="00AC1DFA" w:rsidRDefault="00AC1DFA" w:rsidP="00AC1DFA">
      <w:pPr>
        <w:spacing w:after="0"/>
        <w:rPr>
          <w:rFonts w:eastAsia="Calibri"/>
          <w:color w:val="000000"/>
          <w:szCs w:val="20"/>
        </w:rPr>
      </w:pPr>
      <w:r w:rsidRPr="00AC1DFA">
        <w:rPr>
          <w:rFonts w:eastAsia="Calibri"/>
          <w:color w:val="000000"/>
          <w:szCs w:val="20"/>
        </w:rPr>
        <w:t xml:space="preserve">The Exam Board would like to record its thanks to Heather Schofield, Paul Burns and Clara Elod. The changes to this year’s examining format presented considerable challenges to all involved. The work of Heather, </w:t>
      </w:r>
      <w:proofErr w:type="gramStart"/>
      <w:r w:rsidRPr="00AC1DFA">
        <w:rPr>
          <w:rFonts w:eastAsia="Calibri"/>
          <w:color w:val="000000"/>
          <w:szCs w:val="20"/>
        </w:rPr>
        <w:t>Paul</w:t>
      </w:r>
      <w:proofErr w:type="gramEnd"/>
      <w:r w:rsidRPr="00AC1DFA">
        <w:rPr>
          <w:rFonts w:eastAsia="Calibri"/>
          <w:color w:val="000000"/>
          <w:szCs w:val="20"/>
        </w:rPr>
        <w:t xml:space="preserve"> and Clara, which was done in very difficult circumstances, allowed the Exam Board to conduct its business in a proper and timely fashion. We also would like to thank James Lee and Gavin Phillipson, who did far more than would normally be expected of external examiners. </w:t>
      </w:r>
    </w:p>
    <w:p w14:paraId="02C4F7D7" w14:textId="77777777" w:rsidR="00AC1DFA" w:rsidRPr="004256D6" w:rsidRDefault="00AC1DFA" w:rsidP="00AC1DFA">
      <w:pPr>
        <w:spacing w:after="0"/>
        <w:rPr>
          <w:rStyle w:val="Ref"/>
          <w:rFonts w:eastAsia="Calibri"/>
          <w:b/>
          <w:bCs/>
          <w:color w:val="000000"/>
          <w:szCs w:val="20"/>
        </w:rPr>
      </w:pPr>
    </w:p>
    <w:p w14:paraId="64C2C6F1" w14:textId="77777777" w:rsidR="00131FDC" w:rsidRPr="004256D6" w:rsidRDefault="00131FDC" w:rsidP="00131FDC">
      <w:pPr>
        <w:spacing w:after="0"/>
        <w:rPr>
          <w:rStyle w:val="Ref"/>
          <w:rFonts w:eastAsia="Calibri"/>
          <w:b/>
          <w:bCs/>
          <w:color w:val="000000"/>
          <w:szCs w:val="20"/>
        </w:rPr>
      </w:pPr>
    </w:p>
    <w:p w14:paraId="6731304B" w14:textId="77777777" w:rsidR="00C8084C" w:rsidRDefault="00C8084C" w:rsidP="00131FDC">
      <w:pPr>
        <w:spacing w:after="0"/>
        <w:rPr>
          <w:rStyle w:val="Ref"/>
          <w:rFonts w:eastAsia="Calibri"/>
          <w:b/>
          <w:color w:val="000000"/>
          <w:szCs w:val="20"/>
        </w:rPr>
      </w:pPr>
    </w:p>
    <w:p w14:paraId="1F57022A" w14:textId="287370B8" w:rsidR="00131FDC" w:rsidRPr="004256D6" w:rsidRDefault="00C8084C" w:rsidP="00131FDC">
      <w:pPr>
        <w:spacing w:after="0"/>
        <w:rPr>
          <w:rStyle w:val="Ref"/>
          <w:rFonts w:eastAsia="Calibri"/>
          <w:b/>
          <w:color w:val="000000"/>
          <w:szCs w:val="20"/>
        </w:rPr>
      </w:pPr>
      <w:r>
        <w:rPr>
          <w:rStyle w:val="Ref"/>
          <w:rFonts w:eastAsia="Calibri"/>
          <w:b/>
          <w:color w:val="000000"/>
          <w:szCs w:val="20"/>
        </w:rPr>
        <w:t>PART</w:t>
      </w:r>
      <w:r w:rsidR="00131FDC" w:rsidRPr="004256D6">
        <w:rPr>
          <w:rStyle w:val="Ref"/>
          <w:rFonts w:eastAsia="Calibri"/>
          <w:b/>
          <w:color w:val="000000"/>
          <w:szCs w:val="20"/>
        </w:rPr>
        <w:t xml:space="preserve"> II</w:t>
      </w:r>
    </w:p>
    <w:p w14:paraId="67FACD56" w14:textId="77777777" w:rsidR="00131FDC" w:rsidRPr="004256D6" w:rsidRDefault="00131FDC" w:rsidP="00131FDC">
      <w:pPr>
        <w:spacing w:after="0"/>
        <w:rPr>
          <w:rStyle w:val="Ref"/>
          <w:rFonts w:eastAsia="Calibri"/>
          <w:color w:val="000000"/>
          <w:szCs w:val="20"/>
        </w:rPr>
      </w:pPr>
    </w:p>
    <w:p w14:paraId="09FA246B" w14:textId="77777777" w:rsidR="00131FDC" w:rsidRPr="00DD0ED1" w:rsidRDefault="00131FDC" w:rsidP="00131FDC">
      <w:pPr>
        <w:spacing w:after="0"/>
        <w:rPr>
          <w:rStyle w:val="Ref"/>
          <w:rFonts w:eastAsia="Calibri"/>
          <w:b/>
          <w:bCs/>
          <w:caps/>
          <w:color w:val="000000"/>
          <w:szCs w:val="23"/>
          <w:highlight w:val="yellow"/>
        </w:rPr>
      </w:pPr>
    </w:p>
    <w:p w14:paraId="5C53DF08" w14:textId="77777777" w:rsidR="00131FDC" w:rsidRPr="00857A1D" w:rsidRDefault="00131FDC" w:rsidP="00131FDC">
      <w:pPr>
        <w:spacing w:after="0"/>
        <w:rPr>
          <w:rStyle w:val="Ref"/>
          <w:rFonts w:eastAsia="Calibri"/>
          <w:b/>
          <w:caps/>
          <w:color w:val="000000"/>
          <w:szCs w:val="23"/>
        </w:rPr>
      </w:pPr>
      <w:r w:rsidRPr="00857A1D">
        <w:rPr>
          <w:rStyle w:val="Ref"/>
          <w:rFonts w:eastAsia="Calibri"/>
          <w:b/>
          <w:caps/>
          <w:color w:val="000000"/>
          <w:szCs w:val="23"/>
        </w:rPr>
        <w:t>A.</w:t>
      </w:r>
      <w:r w:rsidRPr="00857A1D">
        <w:rPr>
          <w:rStyle w:val="Ref"/>
          <w:rFonts w:eastAsia="Calibri"/>
          <w:b/>
          <w:caps/>
          <w:color w:val="000000"/>
          <w:szCs w:val="23"/>
        </w:rPr>
        <w:tab/>
        <w:t>General comments on the examination</w:t>
      </w:r>
    </w:p>
    <w:p w14:paraId="18A01EA9" w14:textId="77777777" w:rsidR="00131FDC" w:rsidRPr="00857A1D" w:rsidRDefault="00131FDC" w:rsidP="00131FDC">
      <w:pPr>
        <w:spacing w:after="0"/>
        <w:rPr>
          <w:rStyle w:val="Ref"/>
          <w:rFonts w:eastAsia="Calibri"/>
          <w:color w:val="000000"/>
          <w:szCs w:val="23"/>
        </w:rPr>
      </w:pPr>
    </w:p>
    <w:p w14:paraId="3F8E9EFF" w14:textId="39743625" w:rsidR="00857A1D" w:rsidRDefault="00857A1D" w:rsidP="00131FDC">
      <w:pPr>
        <w:spacing w:after="0"/>
        <w:rPr>
          <w:rStyle w:val="Ref"/>
          <w:rFonts w:eastAsia="Calibri"/>
          <w:color w:val="000000"/>
          <w:szCs w:val="23"/>
        </w:rPr>
      </w:pPr>
      <w:r>
        <w:rPr>
          <w:rStyle w:val="Ref"/>
          <w:rFonts w:eastAsia="Calibri"/>
          <w:color w:val="000000"/>
          <w:szCs w:val="23"/>
        </w:rPr>
        <w:t xml:space="preserve">The most notable change for the 2020 cohort is that the number of Class I degrees awarded is approximately 10 percentage points higher than in 2019 and 2018. </w:t>
      </w:r>
    </w:p>
    <w:p w14:paraId="3A4DF6B1" w14:textId="5BFDC88E" w:rsidR="00857A1D" w:rsidRDefault="00857A1D" w:rsidP="00131FDC">
      <w:pPr>
        <w:spacing w:after="0"/>
        <w:rPr>
          <w:rStyle w:val="Ref"/>
          <w:rFonts w:eastAsia="Calibri"/>
          <w:color w:val="000000"/>
          <w:szCs w:val="23"/>
        </w:rPr>
      </w:pPr>
    </w:p>
    <w:p w14:paraId="3203CAC6" w14:textId="4524E840" w:rsidR="00857A1D" w:rsidRDefault="00857A1D" w:rsidP="00131FDC">
      <w:pPr>
        <w:spacing w:after="0"/>
        <w:rPr>
          <w:rStyle w:val="Ref"/>
          <w:rFonts w:eastAsia="Calibri"/>
          <w:color w:val="000000"/>
          <w:szCs w:val="23"/>
        </w:rPr>
      </w:pPr>
      <w:r>
        <w:rPr>
          <w:rStyle w:val="Ref"/>
          <w:rFonts w:eastAsia="Calibri"/>
          <w:color w:val="000000"/>
          <w:szCs w:val="23"/>
        </w:rPr>
        <w:lastRenderedPageBreak/>
        <w:t xml:space="preserve">Although the marking conventions had changed this year, with the ‘no mark below’ requirement </w:t>
      </w:r>
      <w:r w:rsidR="00FF42F3">
        <w:rPr>
          <w:rStyle w:val="Ref"/>
          <w:rFonts w:eastAsia="Calibri"/>
          <w:color w:val="000000"/>
          <w:szCs w:val="23"/>
        </w:rPr>
        <w:t>being</w:t>
      </w:r>
      <w:r>
        <w:rPr>
          <w:rStyle w:val="Ref"/>
          <w:rFonts w:eastAsia="Calibri"/>
          <w:color w:val="000000"/>
          <w:szCs w:val="23"/>
        </w:rPr>
        <w:t xml:space="preserve"> relaxed for the Class I degree, this accounted for very little movement between </w:t>
      </w:r>
      <w:r w:rsidR="00FF42F3">
        <w:rPr>
          <w:rStyle w:val="Ref"/>
          <w:rFonts w:eastAsia="Calibri"/>
          <w:color w:val="000000"/>
          <w:szCs w:val="23"/>
        </w:rPr>
        <w:t xml:space="preserve">the </w:t>
      </w:r>
      <w:r>
        <w:rPr>
          <w:rStyle w:val="Ref"/>
          <w:rFonts w:eastAsia="Calibri"/>
          <w:color w:val="000000"/>
          <w:szCs w:val="23"/>
        </w:rPr>
        <w:t xml:space="preserve">Class </w:t>
      </w:r>
      <w:proofErr w:type="spellStart"/>
      <w:r>
        <w:rPr>
          <w:rStyle w:val="Ref"/>
          <w:rFonts w:eastAsia="Calibri"/>
          <w:color w:val="000000"/>
          <w:szCs w:val="23"/>
        </w:rPr>
        <w:t>II.i</w:t>
      </w:r>
      <w:proofErr w:type="spellEnd"/>
      <w:r>
        <w:rPr>
          <w:rStyle w:val="Ref"/>
          <w:rFonts w:eastAsia="Calibri"/>
          <w:color w:val="000000"/>
          <w:szCs w:val="23"/>
        </w:rPr>
        <w:t xml:space="preserve"> and Class I </w:t>
      </w:r>
      <w:r w:rsidR="00FF42F3">
        <w:rPr>
          <w:rStyle w:val="Ref"/>
          <w:rFonts w:eastAsia="Calibri"/>
          <w:color w:val="000000"/>
          <w:szCs w:val="23"/>
        </w:rPr>
        <w:t>boundary</w:t>
      </w:r>
      <w:r>
        <w:rPr>
          <w:rStyle w:val="Ref"/>
          <w:rFonts w:eastAsia="Calibri"/>
          <w:color w:val="000000"/>
          <w:szCs w:val="23"/>
        </w:rPr>
        <w:t xml:space="preserve">. </w:t>
      </w:r>
    </w:p>
    <w:p w14:paraId="223E313F" w14:textId="46F4090A" w:rsidR="00857A1D" w:rsidRDefault="00857A1D" w:rsidP="00131FDC">
      <w:pPr>
        <w:spacing w:after="0"/>
        <w:rPr>
          <w:rStyle w:val="Ref"/>
          <w:rFonts w:eastAsia="Calibri"/>
          <w:color w:val="000000"/>
          <w:szCs w:val="23"/>
        </w:rPr>
      </w:pPr>
    </w:p>
    <w:p w14:paraId="1B0BA598" w14:textId="7C645DD9" w:rsidR="00857A1D" w:rsidRDefault="00857A1D" w:rsidP="00131FDC">
      <w:pPr>
        <w:spacing w:after="0"/>
        <w:rPr>
          <w:rStyle w:val="Ref"/>
          <w:rFonts w:eastAsia="Calibri"/>
          <w:color w:val="000000"/>
          <w:szCs w:val="23"/>
        </w:rPr>
      </w:pPr>
      <w:r>
        <w:rPr>
          <w:rStyle w:val="Ref"/>
          <w:rFonts w:eastAsia="Calibri"/>
          <w:color w:val="000000"/>
          <w:szCs w:val="23"/>
        </w:rPr>
        <w:t>The percentage</w:t>
      </w:r>
      <w:r w:rsidR="00FF42F3">
        <w:rPr>
          <w:rStyle w:val="Ref"/>
          <w:rFonts w:eastAsia="Calibri"/>
          <w:color w:val="000000"/>
          <w:szCs w:val="23"/>
        </w:rPr>
        <w:t>s</w:t>
      </w:r>
      <w:r>
        <w:rPr>
          <w:rStyle w:val="Ref"/>
          <w:rFonts w:eastAsia="Calibri"/>
          <w:color w:val="000000"/>
          <w:szCs w:val="23"/>
        </w:rPr>
        <w:t xml:space="preserve"> for the 2020 cohort </w:t>
      </w:r>
      <w:r w:rsidR="00FF42F3">
        <w:rPr>
          <w:rStyle w:val="Ref"/>
          <w:rFonts w:eastAsia="Calibri"/>
          <w:color w:val="000000"/>
          <w:szCs w:val="23"/>
        </w:rPr>
        <w:t>are</w:t>
      </w:r>
      <w:r>
        <w:rPr>
          <w:rStyle w:val="Ref"/>
          <w:rFonts w:eastAsia="Calibri"/>
          <w:color w:val="000000"/>
          <w:szCs w:val="23"/>
        </w:rPr>
        <w:t xml:space="preserve"> affected by the fact that the withdrawal rate was much higher this year (we had approximately 30 fewer candidates than in previous years)</w:t>
      </w:r>
      <w:r w:rsidR="00FF42F3">
        <w:rPr>
          <w:rStyle w:val="Ref"/>
          <w:rFonts w:eastAsia="Calibri"/>
          <w:color w:val="000000"/>
          <w:szCs w:val="23"/>
        </w:rPr>
        <w:t xml:space="preserve">. Had this not happened, we may assume that the breakdown of the results would have been much closer to that seen in previous years. However, it remains the case that the </w:t>
      </w:r>
      <w:r>
        <w:rPr>
          <w:rStyle w:val="Ref"/>
          <w:rFonts w:eastAsia="Calibri"/>
          <w:color w:val="000000"/>
          <w:szCs w:val="23"/>
        </w:rPr>
        <w:t xml:space="preserve">absolute number of Class I degrees </w:t>
      </w:r>
      <w:r w:rsidR="00FF42F3">
        <w:rPr>
          <w:rStyle w:val="Ref"/>
          <w:rFonts w:eastAsia="Calibri"/>
          <w:color w:val="000000"/>
          <w:szCs w:val="23"/>
        </w:rPr>
        <w:t xml:space="preserve">awarded in 2020 </w:t>
      </w:r>
      <w:r>
        <w:rPr>
          <w:rStyle w:val="Ref"/>
          <w:rFonts w:eastAsia="Calibri"/>
          <w:color w:val="000000"/>
          <w:szCs w:val="23"/>
        </w:rPr>
        <w:t>was higher</w:t>
      </w:r>
      <w:r w:rsidR="00FF42F3">
        <w:rPr>
          <w:rStyle w:val="Ref"/>
          <w:rFonts w:eastAsia="Calibri"/>
          <w:color w:val="000000"/>
          <w:szCs w:val="23"/>
        </w:rPr>
        <w:t xml:space="preserve"> than in previous years</w:t>
      </w:r>
      <w:r>
        <w:rPr>
          <w:rStyle w:val="Ref"/>
          <w:rFonts w:eastAsia="Calibri"/>
          <w:color w:val="000000"/>
          <w:szCs w:val="23"/>
        </w:rPr>
        <w:t>.</w:t>
      </w:r>
      <w:r w:rsidR="00FF42F3">
        <w:rPr>
          <w:rStyle w:val="Ref"/>
          <w:rFonts w:eastAsia="Calibri"/>
          <w:color w:val="000000"/>
          <w:szCs w:val="23"/>
        </w:rPr>
        <w:t xml:space="preserve"> This may be the result of </w:t>
      </w:r>
      <w:proofErr w:type="gramStart"/>
      <w:r w:rsidR="00FF42F3">
        <w:rPr>
          <w:rStyle w:val="Ref"/>
          <w:rFonts w:eastAsia="Calibri"/>
          <w:color w:val="000000"/>
          <w:szCs w:val="23"/>
        </w:rPr>
        <w:t>a number of</w:t>
      </w:r>
      <w:proofErr w:type="gramEnd"/>
      <w:r w:rsidR="00FF42F3">
        <w:rPr>
          <w:rStyle w:val="Ref"/>
          <w:rFonts w:eastAsia="Calibri"/>
          <w:color w:val="000000"/>
          <w:szCs w:val="23"/>
        </w:rPr>
        <w:t xml:space="preserve"> factors, including the longer times that candidates had to write their answers, the open-book format, or the increase in mitigating circumstances applications. </w:t>
      </w:r>
      <w:r>
        <w:rPr>
          <w:rStyle w:val="Ref"/>
          <w:rFonts w:eastAsia="Calibri"/>
          <w:color w:val="000000"/>
          <w:szCs w:val="23"/>
        </w:rPr>
        <w:t xml:space="preserve"> </w:t>
      </w:r>
    </w:p>
    <w:p w14:paraId="237E2593" w14:textId="77777777" w:rsidR="00857A1D" w:rsidRDefault="00857A1D" w:rsidP="00131FDC">
      <w:pPr>
        <w:spacing w:after="0"/>
        <w:rPr>
          <w:rStyle w:val="Ref"/>
          <w:rFonts w:eastAsia="Calibri"/>
          <w:color w:val="000000"/>
          <w:szCs w:val="23"/>
        </w:rPr>
      </w:pPr>
    </w:p>
    <w:p w14:paraId="0A5E3D16" w14:textId="77777777" w:rsidR="00131FDC" w:rsidRPr="004256D6" w:rsidRDefault="00131FDC" w:rsidP="00131FDC">
      <w:pPr>
        <w:spacing w:after="0"/>
        <w:rPr>
          <w:rStyle w:val="Ref"/>
          <w:rFonts w:eastAsia="Calibri"/>
          <w:color w:val="000000"/>
          <w:szCs w:val="23"/>
        </w:rPr>
      </w:pPr>
    </w:p>
    <w:p w14:paraId="5C5A1AAE" w14:textId="77777777" w:rsidR="00131FDC" w:rsidRPr="004256D6" w:rsidRDefault="00131FDC" w:rsidP="00131FDC">
      <w:pPr>
        <w:spacing w:after="0"/>
        <w:rPr>
          <w:rStyle w:val="Ref"/>
          <w:rFonts w:eastAsia="Calibri"/>
          <w:b/>
          <w:bCs/>
          <w:caps/>
          <w:color w:val="000000"/>
          <w:szCs w:val="23"/>
        </w:rPr>
      </w:pPr>
    </w:p>
    <w:p w14:paraId="07BE6D11" w14:textId="77777777" w:rsidR="00131FDC" w:rsidRPr="004256D6" w:rsidRDefault="00131FDC" w:rsidP="00131FDC">
      <w:pPr>
        <w:spacing w:after="0"/>
        <w:rPr>
          <w:rStyle w:val="Ref"/>
          <w:rFonts w:eastAsia="Calibri"/>
          <w:b/>
          <w:bCs/>
          <w:caps/>
          <w:color w:val="000000"/>
          <w:szCs w:val="23"/>
        </w:rPr>
      </w:pPr>
      <w:r w:rsidRPr="004256D6">
        <w:rPr>
          <w:rStyle w:val="Ref"/>
          <w:rFonts w:eastAsia="Calibri"/>
          <w:b/>
          <w:caps/>
          <w:color w:val="000000"/>
          <w:szCs w:val="23"/>
        </w:rPr>
        <w:t>B.</w:t>
      </w:r>
      <w:r w:rsidRPr="004256D6">
        <w:rPr>
          <w:rStyle w:val="Ref"/>
          <w:rFonts w:eastAsia="Calibri"/>
          <w:b/>
          <w:caps/>
          <w:color w:val="000000"/>
          <w:szCs w:val="23"/>
        </w:rPr>
        <w:tab/>
        <w:t>EQUALITY AND DIVERSITY ISSUES AND Breakdown of the results by gender</w:t>
      </w:r>
    </w:p>
    <w:p w14:paraId="0851BB20" w14:textId="77777777" w:rsidR="00AC6D14" w:rsidRPr="00AC6D14" w:rsidRDefault="00AC6D14" w:rsidP="00AC6D14">
      <w:pPr>
        <w:rPr>
          <w:sz w:val="2"/>
          <w:szCs w:val="4"/>
        </w:rPr>
      </w:pPr>
      <w:bookmarkStart w:id="2" w:name="_Toc493244216"/>
      <w:bookmarkStart w:id="3" w:name="_Toc493244725"/>
      <w:bookmarkStart w:id="4" w:name="_Toc525140714"/>
    </w:p>
    <w:p w14:paraId="6A53F298" w14:textId="0081A2DD" w:rsidR="00AC6D14" w:rsidRPr="00A172CC" w:rsidRDefault="00AC6D14" w:rsidP="00AC6D14">
      <w:r w:rsidRPr="00A172CC">
        <w:t>FHS Course 1, BA Jurisprudence</w:t>
      </w:r>
      <w:bookmarkEnd w:id="2"/>
      <w:bookmarkEnd w:id="3"/>
      <w:bookmarkEnd w:id="4"/>
    </w:p>
    <w:p w14:paraId="2F6ACF36" w14:textId="77777777" w:rsidR="00131FDC" w:rsidRPr="004256D6" w:rsidRDefault="00131FDC" w:rsidP="00131FDC">
      <w:pPr>
        <w:spacing w:after="0"/>
        <w:rPr>
          <w:rStyle w:val="Ref"/>
          <w:rFonts w:eastAsia="Calibri"/>
          <w:color w:val="000000"/>
          <w:szCs w:val="23"/>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479"/>
        <w:gridCol w:w="19"/>
        <w:gridCol w:w="461"/>
        <w:gridCol w:w="479"/>
        <w:gridCol w:w="19"/>
        <w:gridCol w:w="461"/>
        <w:gridCol w:w="498"/>
        <w:gridCol w:w="461"/>
        <w:gridCol w:w="584"/>
        <w:gridCol w:w="461"/>
        <w:gridCol w:w="498"/>
        <w:gridCol w:w="461"/>
        <w:gridCol w:w="498"/>
        <w:gridCol w:w="462"/>
        <w:gridCol w:w="498"/>
        <w:gridCol w:w="462"/>
        <w:gridCol w:w="585"/>
        <w:gridCol w:w="461"/>
      </w:tblGrid>
      <w:tr w:rsidR="00AC6D14" w:rsidRPr="00A172CC" w14:paraId="46CCA34D" w14:textId="77777777" w:rsidTr="00322417">
        <w:trPr>
          <w:trHeight w:hRule="exact" w:val="397"/>
        </w:trPr>
        <w:tc>
          <w:tcPr>
            <w:tcW w:w="651" w:type="pct"/>
            <w:vAlign w:val="center"/>
          </w:tcPr>
          <w:p w14:paraId="48CE1F3E" w14:textId="77777777" w:rsidR="00AC6D14" w:rsidRPr="00A172CC" w:rsidRDefault="00AC6D14" w:rsidP="00322417"/>
        </w:tc>
        <w:tc>
          <w:tcPr>
            <w:tcW w:w="1063" w:type="pct"/>
            <w:gridSpan w:val="6"/>
          </w:tcPr>
          <w:p w14:paraId="44F1218E" w14:textId="69480716" w:rsidR="00AC6D14" w:rsidRPr="00A172CC" w:rsidRDefault="00AC6D14" w:rsidP="00322417">
            <w:r>
              <w:t>2020</w:t>
            </w:r>
          </w:p>
        </w:tc>
        <w:tc>
          <w:tcPr>
            <w:tcW w:w="1111" w:type="pct"/>
            <w:gridSpan w:val="4"/>
            <w:vAlign w:val="center"/>
          </w:tcPr>
          <w:p w14:paraId="26917108" w14:textId="48356F06" w:rsidR="00AC6D14" w:rsidRPr="00A172CC" w:rsidRDefault="00AC6D14" w:rsidP="00322417">
            <w:r w:rsidRPr="00A172CC">
              <w:t>2019</w:t>
            </w:r>
          </w:p>
        </w:tc>
        <w:tc>
          <w:tcPr>
            <w:tcW w:w="1063" w:type="pct"/>
            <w:gridSpan w:val="4"/>
            <w:vAlign w:val="center"/>
          </w:tcPr>
          <w:p w14:paraId="34A9FBC6" w14:textId="77777777" w:rsidR="00AC6D14" w:rsidRPr="00A172CC" w:rsidRDefault="00AC6D14" w:rsidP="00322417">
            <w:r w:rsidRPr="00A172CC">
              <w:t>2018</w:t>
            </w:r>
          </w:p>
        </w:tc>
        <w:tc>
          <w:tcPr>
            <w:tcW w:w="1112" w:type="pct"/>
            <w:gridSpan w:val="4"/>
            <w:vAlign w:val="center"/>
          </w:tcPr>
          <w:p w14:paraId="782CB9C9" w14:textId="77777777" w:rsidR="00AC6D14" w:rsidRPr="00A172CC" w:rsidRDefault="00AC6D14" w:rsidP="00322417">
            <w:r w:rsidRPr="00A172CC">
              <w:t>2017</w:t>
            </w:r>
          </w:p>
        </w:tc>
      </w:tr>
      <w:tr w:rsidR="00AC6D14" w:rsidRPr="00A172CC" w14:paraId="70AE869D" w14:textId="77777777" w:rsidTr="00322417">
        <w:trPr>
          <w:trHeight w:hRule="exact" w:val="397"/>
        </w:trPr>
        <w:tc>
          <w:tcPr>
            <w:tcW w:w="651" w:type="pct"/>
            <w:vAlign w:val="center"/>
          </w:tcPr>
          <w:p w14:paraId="33A188E8" w14:textId="77777777" w:rsidR="00AC6D14" w:rsidRPr="00A172CC" w:rsidRDefault="00AC6D14" w:rsidP="00322417"/>
        </w:tc>
        <w:tc>
          <w:tcPr>
            <w:tcW w:w="532" w:type="pct"/>
            <w:gridSpan w:val="3"/>
          </w:tcPr>
          <w:p w14:paraId="3F1318FE" w14:textId="2568CAEB" w:rsidR="00AC6D14" w:rsidRPr="00A172CC" w:rsidRDefault="008539A4" w:rsidP="00322417">
            <w:r>
              <w:t>Male</w:t>
            </w:r>
          </w:p>
        </w:tc>
        <w:tc>
          <w:tcPr>
            <w:tcW w:w="532" w:type="pct"/>
            <w:gridSpan w:val="3"/>
          </w:tcPr>
          <w:p w14:paraId="4D3E6B96" w14:textId="69EA583B" w:rsidR="00AC6D14" w:rsidRPr="00A172CC" w:rsidRDefault="008539A4" w:rsidP="00322417">
            <w:r>
              <w:t>Female</w:t>
            </w:r>
          </w:p>
        </w:tc>
        <w:tc>
          <w:tcPr>
            <w:tcW w:w="532" w:type="pct"/>
            <w:gridSpan w:val="2"/>
            <w:vAlign w:val="center"/>
          </w:tcPr>
          <w:p w14:paraId="570DEE24" w14:textId="71A11F65" w:rsidR="00AC6D14" w:rsidRPr="00A172CC" w:rsidRDefault="00AC6D14" w:rsidP="00322417">
            <w:r w:rsidRPr="00A172CC">
              <w:t>Male</w:t>
            </w:r>
          </w:p>
        </w:tc>
        <w:tc>
          <w:tcPr>
            <w:tcW w:w="579" w:type="pct"/>
            <w:gridSpan w:val="2"/>
            <w:vAlign w:val="center"/>
          </w:tcPr>
          <w:p w14:paraId="4C75CE51" w14:textId="77777777" w:rsidR="00AC6D14" w:rsidRPr="00A172CC" w:rsidRDefault="00AC6D14" w:rsidP="00322417">
            <w:r w:rsidRPr="00A172CC">
              <w:t>Female</w:t>
            </w:r>
          </w:p>
        </w:tc>
        <w:tc>
          <w:tcPr>
            <w:tcW w:w="532" w:type="pct"/>
            <w:gridSpan w:val="2"/>
            <w:vAlign w:val="center"/>
          </w:tcPr>
          <w:p w14:paraId="5E78E133" w14:textId="77777777" w:rsidR="00AC6D14" w:rsidRPr="00A172CC" w:rsidRDefault="00AC6D14" w:rsidP="00322417">
            <w:r w:rsidRPr="00A172CC">
              <w:t>Male</w:t>
            </w:r>
          </w:p>
        </w:tc>
        <w:tc>
          <w:tcPr>
            <w:tcW w:w="532" w:type="pct"/>
            <w:gridSpan w:val="2"/>
            <w:vAlign w:val="center"/>
          </w:tcPr>
          <w:p w14:paraId="5E645152" w14:textId="77777777" w:rsidR="00AC6D14" w:rsidRPr="00A172CC" w:rsidRDefault="00AC6D14" w:rsidP="00322417">
            <w:r w:rsidRPr="00A172CC">
              <w:t>Female</w:t>
            </w:r>
          </w:p>
        </w:tc>
        <w:tc>
          <w:tcPr>
            <w:tcW w:w="532" w:type="pct"/>
            <w:gridSpan w:val="2"/>
            <w:vAlign w:val="center"/>
          </w:tcPr>
          <w:p w14:paraId="499090ED" w14:textId="77777777" w:rsidR="00AC6D14" w:rsidRPr="00A172CC" w:rsidRDefault="00AC6D14" w:rsidP="00322417">
            <w:r w:rsidRPr="00A172CC">
              <w:t>Male</w:t>
            </w:r>
          </w:p>
        </w:tc>
        <w:tc>
          <w:tcPr>
            <w:tcW w:w="580" w:type="pct"/>
            <w:gridSpan w:val="2"/>
            <w:vAlign w:val="center"/>
          </w:tcPr>
          <w:p w14:paraId="4A14C1A4" w14:textId="77777777" w:rsidR="00AC6D14" w:rsidRPr="00A172CC" w:rsidRDefault="00AC6D14" w:rsidP="00322417">
            <w:r w:rsidRPr="00A172CC">
              <w:t>Female</w:t>
            </w:r>
          </w:p>
        </w:tc>
      </w:tr>
      <w:tr w:rsidR="00AC6D14" w:rsidRPr="00A172CC" w14:paraId="15B9267D" w14:textId="77777777" w:rsidTr="00322417">
        <w:trPr>
          <w:trHeight w:hRule="exact" w:val="397"/>
        </w:trPr>
        <w:tc>
          <w:tcPr>
            <w:tcW w:w="651" w:type="pct"/>
            <w:vAlign w:val="center"/>
          </w:tcPr>
          <w:p w14:paraId="726F21AE" w14:textId="77777777" w:rsidR="00AC6D14" w:rsidRPr="00A172CC" w:rsidRDefault="00AC6D14" w:rsidP="00322417"/>
        </w:tc>
        <w:tc>
          <w:tcPr>
            <w:tcW w:w="276" w:type="pct"/>
            <w:gridSpan w:val="2"/>
          </w:tcPr>
          <w:p w14:paraId="1DBBD320" w14:textId="7F27293C" w:rsidR="00AC6D14" w:rsidRPr="00A172CC" w:rsidRDefault="008539A4" w:rsidP="00322417">
            <w:r>
              <w:t>No</w:t>
            </w:r>
          </w:p>
        </w:tc>
        <w:tc>
          <w:tcPr>
            <w:tcW w:w="256" w:type="pct"/>
          </w:tcPr>
          <w:p w14:paraId="499F22BB" w14:textId="1C65E1A7" w:rsidR="00AC6D14" w:rsidRPr="00A172CC" w:rsidRDefault="008539A4" w:rsidP="00322417">
            <w:r>
              <w:t>%</w:t>
            </w:r>
          </w:p>
        </w:tc>
        <w:tc>
          <w:tcPr>
            <w:tcW w:w="276" w:type="pct"/>
            <w:gridSpan w:val="2"/>
          </w:tcPr>
          <w:p w14:paraId="79042AEF" w14:textId="767A35B6" w:rsidR="00AC6D14" w:rsidRPr="00A172CC" w:rsidRDefault="008539A4" w:rsidP="00322417">
            <w:r>
              <w:t>No</w:t>
            </w:r>
          </w:p>
        </w:tc>
        <w:tc>
          <w:tcPr>
            <w:tcW w:w="256" w:type="pct"/>
          </w:tcPr>
          <w:p w14:paraId="48D1EE3C" w14:textId="496B70D7" w:rsidR="00AC6D14" w:rsidRPr="00A172CC" w:rsidRDefault="008539A4" w:rsidP="00322417">
            <w:r>
              <w:t>%</w:t>
            </w:r>
          </w:p>
        </w:tc>
        <w:tc>
          <w:tcPr>
            <w:tcW w:w="276" w:type="pct"/>
            <w:vAlign w:val="center"/>
          </w:tcPr>
          <w:p w14:paraId="2C6BF8BD" w14:textId="6EB24A1B" w:rsidR="00AC6D14" w:rsidRPr="00A172CC" w:rsidRDefault="00AC6D14" w:rsidP="00322417">
            <w:r w:rsidRPr="00A172CC">
              <w:t>No</w:t>
            </w:r>
          </w:p>
        </w:tc>
        <w:tc>
          <w:tcPr>
            <w:tcW w:w="256" w:type="pct"/>
            <w:vAlign w:val="center"/>
          </w:tcPr>
          <w:p w14:paraId="45322D1F" w14:textId="77777777" w:rsidR="00AC6D14" w:rsidRPr="00A172CC" w:rsidRDefault="00AC6D14" w:rsidP="00322417">
            <w:r w:rsidRPr="00A172CC">
              <w:t>%</w:t>
            </w:r>
          </w:p>
        </w:tc>
        <w:tc>
          <w:tcPr>
            <w:tcW w:w="324" w:type="pct"/>
            <w:vAlign w:val="center"/>
          </w:tcPr>
          <w:p w14:paraId="30F9DC86" w14:textId="77777777" w:rsidR="00AC6D14" w:rsidRPr="00A172CC" w:rsidRDefault="00AC6D14" w:rsidP="00322417">
            <w:r w:rsidRPr="00A172CC">
              <w:t>No</w:t>
            </w:r>
          </w:p>
        </w:tc>
        <w:tc>
          <w:tcPr>
            <w:tcW w:w="256" w:type="pct"/>
            <w:vAlign w:val="center"/>
          </w:tcPr>
          <w:p w14:paraId="7C8DC77C" w14:textId="77777777" w:rsidR="00AC6D14" w:rsidRPr="00A172CC" w:rsidRDefault="00AC6D14" w:rsidP="00322417">
            <w:r w:rsidRPr="00A172CC">
              <w:t>%</w:t>
            </w:r>
          </w:p>
        </w:tc>
        <w:tc>
          <w:tcPr>
            <w:tcW w:w="276" w:type="pct"/>
            <w:vAlign w:val="center"/>
          </w:tcPr>
          <w:p w14:paraId="662AD2D6" w14:textId="77777777" w:rsidR="00AC6D14" w:rsidRPr="00A172CC" w:rsidRDefault="00AC6D14" w:rsidP="00322417">
            <w:r w:rsidRPr="00A172CC">
              <w:t>No</w:t>
            </w:r>
          </w:p>
        </w:tc>
        <w:tc>
          <w:tcPr>
            <w:tcW w:w="256" w:type="pct"/>
            <w:vAlign w:val="center"/>
          </w:tcPr>
          <w:p w14:paraId="13E74013" w14:textId="77777777" w:rsidR="00AC6D14" w:rsidRPr="00A172CC" w:rsidRDefault="00AC6D14" w:rsidP="00322417">
            <w:r w:rsidRPr="00A172CC">
              <w:t>%</w:t>
            </w:r>
          </w:p>
        </w:tc>
        <w:tc>
          <w:tcPr>
            <w:tcW w:w="276" w:type="pct"/>
            <w:vAlign w:val="center"/>
          </w:tcPr>
          <w:p w14:paraId="2991D4B2" w14:textId="77777777" w:rsidR="00AC6D14" w:rsidRPr="00A172CC" w:rsidRDefault="00AC6D14" w:rsidP="00322417">
            <w:r w:rsidRPr="00A172CC">
              <w:t>No</w:t>
            </w:r>
          </w:p>
        </w:tc>
        <w:tc>
          <w:tcPr>
            <w:tcW w:w="256" w:type="pct"/>
            <w:vAlign w:val="center"/>
          </w:tcPr>
          <w:p w14:paraId="5A99888E" w14:textId="77777777" w:rsidR="00AC6D14" w:rsidRPr="00A172CC" w:rsidRDefault="00AC6D14" w:rsidP="00322417">
            <w:r w:rsidRPr="00A172CC">
              <w:t>%</w:t>
            </w:r>
          </w:p>
        </w:tc>
        <w:tc>
          <w:tcPr>
            <w:tcW w:w="276" w:type="pct"/>
            <w:vAlign w:val="center"/>
          </w:tcPr>
          <w:p w14:paraId="4F188BE6" w14:textId="77777777" w:rsidR="00AC6D14" w:rsidRPr="00A172CC" w:rsidRDefault="00AC6D14" w:rsidP="00322417">
            <w:r w:rsidRPr="00A172CC">
              <w:t>No</w:t>
            </w:r>
          </w:p>
        </w:tc>
        <w:tc>
          <w:tcPr>
            <w:tcW w:w="256" w:type="pct"/>
            <w:vAlign w:val="center"/>
          </w:tcPr>
          <w:p w14:paraId="7BBBC800" w14:textId="77777777" w:rsidR="00AC6D14" w:rsidRPr="00A172CC" w:rsidRDefault="00AC6D14" w:rsidP="00322417">
            <w:r w:rsidRPr="00A172CC">
              <w:t>%</w:t>
            </w:r>
          </w:p>
        </w:tc>
        <w:tc>
          <w:tcPr>
            <w:tcW w:w="324" w:type="pct"/>
            <w:vAlign w:val="center"/>
          </w:tcPr>
          <w:p w14:paraId="6DF492D8" w14:textId="77777777" w:rsidR="00AC6D14" w:rsidRPr="00A172CC" w:rsidRDefault="00AC6D14" w:rsidP="00322417">
            <w:r w:rsidRPr="00A172CC">
              <w:t>No</w:t>
            </w:r>
          </w:p>
        </w:tc>
        <w:tc>
          <w:tcPr>
            <w:tcW w:w="256" w:type="pct"/>
            <w:vAlign w:val="center"/>
          </w:tcPr>
          <w:p w14:paraId="5AB26992" w14:textId="77777777" w:rsidR="00AC6D14" w:rsidRPr="00A172CC" w:rsidRDefault="00AC6D14" w:rsidP="00322417">
            <w:r w:rsidRPr="00A172CC">
              <w:t>%</w:t>
            </w:r>
          </w:p>
        </w:tc>
      </w:tr>
      <w:tr w:rsidR="00AC6D14" w:rsidRPr="00A172CC" w14:paraId="408003AC" w14:textId="77777777" w:rsidTr="00322417">
        <w:trPr>
          <w:trHeight w:hRule="exact" w:val="397"/>
        </w:trPr>
        <w:tc>
          <w:tcPr>
            <w:tcW w:w="651" w:type="pct"/>
            <w:vAlign w:val="center"/>
          </w:tcPr>
          <w:p w14:paraId="7B0645CD" w14:textId="77777777" w:rsidR="00AC6D14" w:rsidRPr="00A172CC" w:rsidRDefault="00AC6D14" w:rsidP="00322417">
            <w:r w:rsidRPr="00A172CC">
              <w:t>I</w:t>
            </w:r>
          </w:p>
        </w:tc>
        <w:tc>
          <w:tcPr>
            <w:tcW w:w="276" w:type="pct"/>
            <w:gridSpan w:val="2"/>
          </w:tcPr>
          <w:p w14:paraId="05FEEE01" w14:textId="33D61EEE" w:rsidR="00AC6D14" w:rsidRPr="00A172CC" w:rsidRDefault="008539A4" w:rsidP="00322417">
            <w:r>
              <w:t>31</w:t>
            </w:r>
          </w:p>
        </w:tc>
        <w:tc>
          <w:tcPr>
            <w:tcW w:w="256" w:type="pct"/>
          </w:tcPr>
          <w:p w14:paraId="1FFD45E0" w14:textId="4353108E" w:rsidR="00AC6D14" w:rsidRPr="00A172CC" w:rsidRDefault="008539A4" w:rsidP="00322417">
            <w:r>
              <w:t>41</w:t>
            </w:r>
          </w:p>
        </w:tc>
        <w:tc>
          <w:tcPr>
            <w:tcW w:w="276" w:type="pct"/>
            <w:gridSpan w:val="2"/>
          </w:tcPr>
          <w:p w14:paraId="526E6DFA" w14:textId="569FB425" w:rsidR="00AC6D14" w:rsidRPr="00A172CC" w:rsidRDefault="008539A4" w:rsidP="00322417">
            <w:r>
              <w:t>23</w:t>
            </w:r>
          </w:p>
        </w:tc>
        <w:tc>
          <w:tcPr>
            <w:tcW w:w="256" w:type="pct"/>
          </w:tcPr>
          <w:p w14:paraId="6D76A1A4" w14:textId="1BDE0CD9" w:rsidR="00AC6D14" w:rsidRPr="00A172CC" w:rsidRDefault="00322417" w:rsidP="00322417">
            <w:r>
              <w:t>23</w:t>
            </w:r>
          </w:p>
        </w:tc>
        <w:tc>
          <w:tcPr>
            <w:tcW w:w="276" w:type="pct"/>
            <w:vAlign w:val="center"/>
          </w:tcPr>
          <w:p w14:paraId="3AB0B2BF" w14:textId="38AD5A86" w:rsidR="00AC6D14" w:rsidRPr="00A172CC" w:rsidRDefault="00AC6D14" w:rsidP="00322417">
            <w:r w:rsidRPr="00A172CC">
              <w:t>18</w:t>
            </w:r>
          </w:p>
        </w:tc>
        <w:tc>
          <w:tcPr>
            <w:tcW w:w="256" w:type="pct"/>
            <w:vAlign w:val="center"/>
          </w:tcPr>
          <w:p w14:paraId="27C62B2C" w14:textId="77777777" w:rsidR="00AC6D14" w:rsidRPr="00A172CC" w:rsidRDefault="00AC6D14" w:rsidP="00322417">
            <w:r w:rsidRPr="00A172CC">
              <w:t>20</w:t>
            </w:r>
          </w:p>
        </w:tc>
        <w:tc>
          <w:tcPr>
            <w:tcW w:w="324" w:type="pct"/>
            <w:vAlign w:val="center"/>
          </w:tcPr>
          <w:p w14:paraId="7872EC08" w14:textId="77777777" w:rsidR="00AC6D14" w:rsidRPr="00A172CC" w:rsidRDefault="00AC6D14" w:rsidP="00322417">
            <w:r w:rsidRPr="00A172CC">
              <w:t>23</w:t>
            </w:r>
          </w:p>
        </w:tc>
        <w:tc>
          <w:tcPr>
            <w:tcW w:w="256" w:type="pct"/>
            <w:vAlign w:val="center"/>
          </w:tcPr>
          <w:p w14:paraId="6BD5DFD2" w14:textId="77777777" w:rsidR="00AC6D14" w:rsidRPr="00A172CC" w:rsidRDefault="00AC6D14" w:rsidP="00322417">
            <w:r w:rsidRPr="00A172CC">
              <w:t>20</w:t>
            </w:r>
          </w:p>
        </w:tc>
        <w:tc>
          <w:tcPr>
            <w:tcW w:w="276" w:type="pct"/>
            <w:vAlign w:val="center"/>
          </w:tcPr>
          <w:p w14:paraId="06F8714E" w14:textId="77777777" w:rsidR="00AC6D14" w:rsidRPr="00A172CC" w:rsidRDefault="00AC6D14" w:rsidP="00322417">
            <w:r w:rsidRPr="00A172CC">
              <w:t>23</w:t>
            </w:r>
          </w:p>
        </w:tc>
        <w:tc>
          <w:tcPr>
            <w:tcW w:w="256" w:type="pct"/>
            <w:vAlign w:val="center"/>
          </w:tcPr>
          <w:p w14:paraId="041F741D" w14:textId="77777777" w:rsidR="00AC6D14" w:rsidRPr="00A172CC" w:rsidRDefault="00AC6D14" w:rsidP="00322417">
            <w:r w:rsidRPr="00A172CC">
              <w:t>29</w:t>
            </w:r>
          </w:p>
        </w:tc>
        <w:tc>
          <w:tcPr>
            <w:tcW w:w="276" w:type="pct"/>
            <w:vAlign w:val="center"/>
          </w:tcPr>
          <w:p w14:paraId="45B6278B" w14:textId="77777777" w:rsidR="00AC6D14" w:rsidRPr="00A172CC" w:rsidRDefault="00AC6D14" w:rsidP="00322417">
            <w:r w:rsidRPr="00A172CC">
              <w:t>15</w:t>
            </w:r>
          </w:p>
        </w:tc>
        <w:tc>
          <w:tcPr>
            <w:tcW w:w="256" w:type="pct"/>
            <w:vAlign w:val="center"/>
          </w:tcPr>
          <w:p w14:paraId="7817E35F" w14:textId="77777777" w:rsidR="00AC6D14" w:rsidRPr="00A172CC" w:rsidRDefault="00AC6D14" w:rsidP="00322417">
            <w:r w:rsidRPr="00A172CC">
              <w:t>15</w:t>
            </w:r>
          </w:p>
        </w:tc>
        <w:tc>
          <w:tcPr>
            <w:tcW w:w="276" w:type="pct"/>
            <w:vAlign w:val="center"/>
          </w:tcPr>
          <w:p w14:paraId="477AB896" w14:textId="77777777" w:rsidR="00AC6D14" w:rsidRPr="00A172CC" w:rsidRDefault="00AC6D14" w:rsidP="00322417">
            <w:r w:rsidRPr="00A172CC">
              <w:t>21</w:t>
            </w:r>
          </w:p>
        </w:tc>
        <w:tc>
          <w:tcPr>
            <w:tcW w:w="256" w:type="pct"/>
            <w:vAlign w:val="center"/>
          </w:tcPr>
          <w:p w14:paraId="4A081CBF" w14:textId="77777777" w:rsidR="00AC6D14" w:rsidRPr="00A172CC" w:rsidRDefault="00AC6D14" w:rsidP="00322417">
            <w:r w:rsidRPr="00A172CC">
              <w:t>27</w:t>
            </w:r>
          </w:p>
        </w:tc>
        <w:tc>
          <w:tcPr>
            <w:tcW w:w="324" w:type="pct"/>
            <w:vAlign w:val="center"/>
          </w:tcPr>
          <w:p w14:paraId="3443A574" w14:textId="77777777" w:rsidR="00AC6D14" w:rsidRPr="00A172CC" w:rsidRDefault="00AC6D14" w:rsidP="00322417">
            <w:r w:rsidRPr="00A172CC">
              <w:t>17</w:t>
            </w:r>
          </w:p>
        </w:tc>
        <w:tc>
          <w:tcPr>
            <w:tcW w:w="256" w:type="pct"/>
            <w:vAlign w:val="center"/>
          </w:tcPr>
          <w:p w14:paraId="222F135B" w14:textId="77777777" w:rsidR="00AC6D14" w:rsidRPr="00A172CC" w:rsidRDefault="00AC6D14" w:rsidP="00322417">
            <w:r w:rsidRPr="00A172CC">
              <w:t>15</w:t>
            </w:r>
          </w:p>
        </w:tc>
      </w:tr>
      <w:tr w:rsidR="00AC6D14" w:rsidRPr="00A172CC" w14:paraId="27212517" w14:textId="77777777" w:rsidTr="00322417">
        <w:trPr>
          <w:trHeight w:hRule="exact" w:val="397"/>
        </w:trPr>
        <w:tc>
          <w:tcPr>
            <w:tcW w:w="651" w:type="pct"/>
            <w:vAlign w:val="center"/>
          </w:tcPr>
          <w:p w14:paraId="0A19A45F" w14:textId="77777777" w:rsidR="00AC6D14" w:rsidRPr="00A172CC" w:rsidRDefault="00AC6D14" w:rsidP="00322417">
            <w:r w:rsidRPr="00A172CC">
              <w:t>II.I</w:t>
            </w:r>
          </w:p>
        </w:tc>
        <w:tc>
          <w:tcPr>
            <w:tcW w:w="276" w:type="pct"/>
            <w:gridSpan w:val="2"/>
          </w:tcPr>
          <w:p w14:paraId="04028C7A" w14:textId="66F4F3D2" w:rsidR="00AC6D14" w:rsidRPr="00A172CC" w:rsidRDefault="008539A4" w:rsidP="00322417">
            <w:r>
              <w:t>43</w:t>
            </w:r>
          </w:p>
        </w:tc>
        <w:tc>
          <w:tcPr>
            <w:tcW w:w="256" w:type="pct"/>
          </w:tcPr>
          <w:p w14:paraId="70D3D6E5" w14:textId="2461F29E" w:rsidR="00AC6D14" w:rsidRPr="00A172CC" w:rsidRDefault="00322417" w:rsidP="00322417">
            <w:r>
              <w:t>57</w:t>
            </w:r>
          </w:p>
        </w:tc>
        <w:tc>
          <w:tcPr>
            <w:tcW w:w="276" w:type="pct"/>
            <w:gridSpan w:val="2"/>
          </w:tcPr>
          <w:p w14:paraId="09E80056" w14:textId="0C8C7093" w:rsidR="00AC6D14" w:rsidRPr="00A172CC" w:rsidRDefault="008539A4" w:rsidP="00322417">
            <w:r>
              <w:t>76</w:t>
            </w:r>
          </w:p>
        </w:tc>
        <w:tc>
          <w:tcPr>
            <w:tcW w:w="256" w:type="pct"/>
          </w:tcPr>
          <w:p w14:paraId="2ED5FABC" w14:textId="618DE076" w:rsidR="00AC6D14" w:rsidRPr="00A172CC" w:rsidRDefault="00322417" w:rsidP="00322417">
            <w:r>
              <w:t>77</w:t>
            </w:r>
          </w:p>
        </w:tc>
        <w:tc>
          <w:tcPr>
            <w:tcW w:w="276" w:type="pct"/>
            <w:vAlign w:val="center"/>
          </w:tcPr>
          <w:p w14:paraId="14C37D8C" w14:textId="7B23FE0C" w:rsidR="00AC6D14" w:rsidRPr="00A172CC" w:rsidRDefault="00AC6D14" w:rsidP="00322417">
            <w:r w:rsidRPr="00A172CC">
              <w:t>69</w:t>
            </w:r>
          </w:p>
        </w:tc>
        <w:tc>
          <w:tcPr>
            <w:tcW w:w="256" w:type="pct"/>
            <w:vAlign w:val="center"/>
          </w:tcPr>
          <w:p w14:paraId="2AB41DB5" w14:textId="77777777" w:rsidR="00AC6D14" w:rsidRPr="00A172CC" w:rsidRDefault="00AC6D14" w:rsidP="00322417">
            <w:r w:rsidRPr="00A172CC">
              <w:t>78</w:t>
            </w:r>
          </w:p>
        </w:tc>
        <w:tc>
          <w:tcPr>
            <w:tcW w:w="324" w:type="pct"/>
            <w:vAlign w:val="center"/>
          </w:tcPr>
          <w:p w14:paraId="5AE464EC" w14:textId="77777777" w:rsidR="00AC6D14" w:rsidRPr="00A172CC" w:rsidRDefault="00AC6D14" w:rsidP="00322417">
            <w:r w:rsidRPr="00A172CC">
              <w:t>85</w:t>
            </w:r>
          </w:p>
        </w:tc>
        <w:tc>
          <w:tcPr>
            <w:tcW w:w="256" w:type="pct"/>
            <w:vAlign w:val="center"/>
          </w:tcPr>
          <w:p w14:paraId="0700861C" w14:textId="77777777" w:rsidR="00AC6D14" w:rsidRPr="00A172CC" w:rsidRDefault="00AC6D14" w:rsidP="00322417">
            <w:r w:rsidRPr="00A172CC">
              <w:t>75</w:t>
            </w:r>
          </w:p>
        </w:tc>
        <w:tc>
          <w:tcPr>
            <w:tcW w:w="276" w:type="pct"/>
            <w:vAlign w:val="center"/>
          </w:tcPr>
          <w:p w14:paraId="3A258184" w14:textId="77777777" w:rsidR="00AC6D14" w:rsidRPr="00A172CC" w:rsidRDefault="00AC6D14" w:rsidP="00322417">
            <w:r w:rsidRPr="00A172CC">
              <w:t>56</w:t>
            </w:r>
          </w:p>
        </w:tc>
        <w:tc>
          <w:tcPr>
            <w:tcW w:w="256" w:type="pct"/>
            <w:vAlign w:val="center"/>
          </w:tcPr>
          <w:p w14:paraId="4BE67846" w14:textId="77777777" w:rsidR="00AC6D14" w:rsidRPr="00A172CC" w:rsidRDefault="00AC6D14" w:rsidP="00322417">
            <w:r w:rsidRPr="00A172CC">
              <w:t>69</w:t>
            </w:r>
          </w:p>
        </w:tc>
        <w:tc>
          <w:tcPr>
            <w:tcW w:w="276" w:type="pct"/>
            <w:vAlign w:val="center"/>
          </w:tcPr>
          <w:p w14:paraId="63A0EEAB" w14:textId="77777777" w:rsidR="00AC6D14" w:rsidRPr="00A172CC" w:rsidRDefault="00AC6D14" w:rsidP="00322417">
            <w:r w:rsidRPr="00A172CC">
              <w:t>83</w:t>
            </w:r>
          </w:p>
        </w:tc>
        <w:tc>
          <w:tcPr>
            <w:tcW w:w="256" w:type="pct"/>
            <w:vAlign w:val="center"/>
          </w:tcPr>
          <w:p w14:paraId="2FF0FCC6" w14:textId="77777777" w:rsidR="00AC6D14" w:rsidRPr="00A172CC" w:rsidRDefault="00AC6D14" w:rsidP="00322417">
            <w:r w:rsidRPr="00A172CC">
              <w:t>84</w:t>
            </w:r>
          </w:p>
        </w:tc>
        <w:tc>
          <w:tcPr>
            <w:tcW w:w="276" w:type="pct"/>
            <w:vAlign w:val="center"/>
          </w:tcPr>
          <w:p w14:paraId="4B1E0BED" w14:textId="77777777" w:rsidR="00AC6D14" w:rsidRPr="00A172CC" w:rsidRDefault="00AC6D14" w:rsidP="00322417">
            <w:r w:rsidRPr="00A172CC">
              <w:t>56</w:t>
            </w:r>
          </w:p>
        </w:tc>
        <w:tc>
          <w:tcPr>
            <w:tcW w:w="256" w:type="pct"/>
            <w:vAlign w:val="center"/>
          </w:tcPr>
          <w:p w14:paraId="5ABC4E53" w14:textId="77777777" w:rsidR="00AC6D14" w:rsidRPr="00A172CC" w:rsidRDefault="00AC6D14" w:rsidP="00322417">
            <w:r w:rsidRPr="00A172CC">
              <w:t>71</w:t>
            </w:r>
          </w:p>
        </w:tc>
        <w:tc>
          <w:tcPr>
            <w:tcW w:w="324" w:type="pct"/>
            <w:vAlign w:val="center"/>
          </w:tcPr>
          <w:p w14:paraId="0515AE15" w14:textId="77777777" w:rsidR="00AC6D14" w:rsidRPr="00A172CC" w:rsidRDefault="00AC6D14" w:rsidP="00322417">
            <w:r w:rsidRPr="00A172CC">
              <w:t>90</w:t>
            </w:r>
          </w:p>
        </w:tc>
        <w:tc>
          <w:tcPr>
            <w:tcW w:w="256" w:type="pct"/>
            <w:vAlign w:val="center"/>
          </w:tcPr>
          <w:p w14:paraId="2BC40CA2" w14:textId="77777777" w:rsidR="00AC6D14" w:rsidRPr="00A172CC" w:rsidRDefault="00AC6D14" w:rsidP="00322417">
            <w:r w:rsidRPr="00A172CC">
              <w:t>82</w:t>
            </w:r>
          </w:p>
        </w:tc>
      </w:tr>
      <w:tr w:rsidR="00AC6D14" w:rsidRPr="00A172CC" w14:paraId="2C9F3E86" w14:textId="77777777" w:rsidTr="00322417">
        <w:trPr>
          <w:trHeight w:hRule="exact" w:val="397"/>
        </w:trPr>
        <w:tc>
          <w:tcPr>
            <w:tcW w:w="651" w:type="pct"/>
            <w:vAlign w:val="center"/>
          </w:tcPr>
          <w:p w14:paraId="3D98ACC9" w14:textId="77777777" w:rsidR="00AC6D14" w:rsidRPr="00A172CC" w:rsidRDefault="00AC6D14" w:rsidP="00322417">
            <w:r w:rsidRPr="00A172CC">
              <w:t>II.II</w:t>
            </w:r>
          </w:p>
        </w:tc>
        <w:tc>
          <w:tcPr>
            <w:tcW w:w="276" w:type="pct"/>
            <w:gridSpan w:val="2"/>
          </w:tcPr>
          <w:p w14:paraId="18F93FF4" w14:textId="02C75EE5" w:rsidR="00AC6D14" w:rsidRPr="00A172CC" w:rsidRDefault="008539A4" w:rsidP="00322417">
            <w:r>
              <w:t>1</w:t>
            </w:r>
          </w:p>
        </w:tc>
        <w:tc>
          <w:tcPr>
            <w:tcW w:w="256" w:type="pct"/>
          </w:tcPr>
          <w:p w14:paraId="2D173654" w14:textId="5CA54EEB" w:rsidR="00AC6D14" w:rsidRPr="00A172CC" w:rsidRDefault="00322417" w:rsidP="00322417">
            <w:r>
              <w:t>1</w:t>
            </w:r>
          </w:p>
        </w:tc>
        <w:tc>
          <w:tcPr>
            <w:tcW w:w="276" w:type="pct"/>
            <w:gridSpan w:val="2"/>
          </w:tcPr>
          <w:p w14:paraId="6E8C0151" w14:textId="3590201A" w:rsidR="00AC6D14" w:rsidRPr="00A172CC" w:rsidRDefault="008539A4" w:rsidP="00322417">
            <w:r>
              <w:t>0</w:t>
            </w:r>
          </w:p>
        </w:tc>
        <w:tc>
          <w:tcPr>
            <w:tcW w:w="256" w:type="pct"/>
          </w:tcPr>
          <w:p w14:paraId="5598C693" w14:textId="1AE8EBA2" w:rsidR="00AC6D14" w:rsidRPr="00A172CC" w:rsidRDefault="00322417" w:rsidP="00322417">
            <w:r>
              <w:t>0</w:t>
            </w:r>
          </w:p>
        </w:tc>
        <w:tc>
          <w:tcPr>
            <w:tcW w:w="276" w:type="pct"/>
            <w:vAlign w:val="center"/>
          </w:tcPr>
          <w:p w14:paraId="25297529" w14:textId="6200D92F" w:rsidR="00AC6D14" w:rsidRPr="00A172CC" w:rsidRDefault="00AC6D14" w:rsidP="00322417">
            <w:r w:rsidRPr="00A172CC">
              <w:t>1</w:t>
            </w:r>
          </w:p>
        </w:tc>
        <w:tc>
          <w:tcPr>
            <w:tcW w:w="256" w:type="pct"/>
            <w:vAlign w:val="center"/>
          </w:tcPr>
          <w:p w14:paraId="42806D14" w14:textId="77777777" w:rsidR="00AC6D14" w:rsidRPr="00A172CC" w:rsidRDefault="00AC6D14" w:rsidP="00322417">
            <w:r w:rsidRPr="00A172CC">
              <w:t>1</w:t>
            </w:r>
          </w:p>
        </w:tc>
        <w:tc>
          <w:tcPr>
            <w:tcW w:w="324" w:type="pct"/>
            <w:vAlign w:val="center"/>
          </w:tcPr>
          <w:p w14:paraId="53E5612C" w14:textId="77777777" w:rsidR="00AC6D14" w:rsidRPr="00A172CC" w:rsidRDefault="00AC6D14" w:rsidP="00322417">
            <w:r w:rsidRPr="00A172CC">
              <w:t>4</w:t>
            </w:r>
          </w:p>
        </w:tc>
        <w:tc>
          <w:tcPr>
            <w:tcW w:w="256" w:type="pct"/>
            <w:vAlign w:val="center"/>
          </w:tcPr>
          <w:p w14:paraId="21CDA4B6" w14:textId="77777777" w:rsidR="00AC6D14" w:rsidRPr="00A172CC" w:rsidRDefault="00AC6D14" w:rsidP="00322417">
            <w:r w:rsidRPr="00A172CC">
              <w:t>4</w:t>
            </w:r>
          </w:p>
        </w:tc>
        <w:tc>
          <w:tcPr>
            <w:tcW w:w="276" w:type="pct"/>
            <w:vAlign w:val="center"/>
          </w:tcPr>
          <w:p w14:paraId="693497C8" w14:textId="77777777" w:rsidR="00AC6D14" w:rsidRPr="00A172CC" w:rsidRDefault="00AC6D14" w:rsidP="00322417">
            <w:r w:rsidRPr="00A172CC">
              <w:t>1</w:t>
            </w:r>
          </w:p>
        </w:tc>
        <w:tc>
          <w:tcPr>
            <w:tcW w:w="256" w:type="pct"/>
            <w:vAlign w:val="center"/>
          </w:tcPr>
          <w:p w14:paraId="21AFC04E" w14:textId="77777777" w:rsidR="00AC6D14" w:rsidRPr="00A172CC" w:rsidRDefault="00AC6D14" w:rsidP="00322417">
            <w:r w:rsidRPr="00A172CC">
              <w:t>1</w:t>
            </w:r>
          </w:p>
        </w:tc>
        <w:tc>
          <w:tcPr>
            <w:tcW w:w="276" w:type="pct"/>
            <w:vAlign w:val="center"/>
          </w:tcPr>
          <w:p w14:paraId="6E713258" w14:textId="77777777" w:rsidR="00AC6D14" w:rsidRPr="00A172CC" w:rsidRDefault="00AC6D14" w:rsidP="00322417"/>
        </w:tc>
        <w:tc>
          <w:tcPr>
            <w:tcW w:w="256" w:type="pct"/>
            <w:vAlign w:val="center"/>
          </w:tcPr>
          <w:p w14:paraId="07A55B26" w14:textId="77777777" w:rsidR="00AC6D14" w:rsidRPr="00A172CC" w:rsidRDefault="00AC6D14" w:rsidP="00322417"/>
        </w:tc>
        <w:tc>
          <w:tcPr>
            <w:tcW w:w="276" w:type="pct"/>
            <w:vAlign w:val="center"/>
          </w:tcPr>
          <w:p w14:paraId="6DA679F9" w14:textId="77777777" w:rsidR="00AC6D14" w:rsidRPr="00A172CC" w:rsidRDefault="00AC6D14" w:rsidP="00322417">
            <w:r w:rsidRPr="00A172CC">
              <w:t>2</w:t>
            </w:r>
          </w:p>
        </w:tc>
        <w:tc>
          <w:tcPr>
            <w:tcW w:w="256" w:type="pct"/>
            <w:vAlign w:val="center"/>
          </w:tcPr>
          <w:p w14:paraId="26A23600" w14:textId="77777777" w:rsidR="00AC6D14" w:rsidRPr="00A172CC" w:rsidRDefault="00AC6D14" w:rsidP="00322417">
            <w:r w:rsidRPr="00A172CC">
              <w:t>2</w:t>
            </w:r>
          </w:p>
        </w:tc>
        <w:tc>
          <w:tcPr>
            <w:tcW w:w="324" w:type="pct"/>
            <w:vAlign w:val="center"/>
          </w:tcPr>
          <w:p w14:paraId="37FE713F" w14:textId="77777777" w:rsidR="00AC6D14" w:rsidRPr="00A172CC" w:rsidRDefault="00AC6D14" w:rsidP="00322417">
            <w:r w:rsidRPr="00A172CC">
              <w:t>3</w:t>
            </w:r>
          </w:p>
        </w:tc>
        <w:tc>
          <w:tcPr>
            <w:tcW w:w="256" w:type="pct"/>
            <w:vAlign w:val="center"/>
          </w:tcPr>
          <w:p w14:paraId="374B5029" w14:textId="77777777" w:rsidR="00AC6D14" w:rsidRPr="00A172CC" w:rsidRDefault="00AC6D14" w:rsidP="00322417">
            <w:r w:rsidRPr="00A172CC">
              <w:t>3</w:t>
            </w:r>
          </w:p>
        </w:tc>
      </w:tr>
      <w:tr w:rsidR="00AC6D14" w:rsidRPr="00A172CC" w14:paraId="0D3DB5C1" w14:textId="77777777" w:rsidTr="00322417">
        <w:trPr>
          <w:trHeight w:hRule="exact" w:val="397"/>
        </w:trPr>
        <w:tc>
          <w:tcPr>
            <w:tcW w:w="651" w:type="pct"/>
            <w:vAlign w:val="center"/>
          </w:tcPr>
          <w:p w14:paraId="742E6215" w14:textId="77777777" w:rsidR="00AC6D14" w:rsidRPr="00A172CC" w:rsidRDefault="00AC6D14" w:rsidP="00322417">
            <w:r w:rsidRPr="00A172CC">
              <w:t>III</w:t>
            </w:r>
          </w:p>
        </w:tc>
        <w:tc>
          <w:tcPr>
            <w:tcW w:w="276" w:type="pct"/>
            <w:gridSpan w:val="2"/>
          </w:tcPr>
          <w:p w14:paraId="1456C442" w14:textId="77777777" w:rsidR="00AC6D14" w:rsidRPr="00A172CC" w:rsidRDefault="00AC6D14" w:rsidP="00322417"/>
        </w:tc>
        <w:tc>
          <w:tcPr>
            <w:tcW w:w="256" w:type="pct"/>
          </w:tcPr>
          <w:p w14:paraId="5FB3E740" w14:textId="77777777" w:rsidR="00AC6D14" w:rsidRPr="00A172CC" w:rsidRDefault="00AC6D14" w:rsidP="00322417"/>
        </w:tc>
        <w:tc>
          <w:tcPr>
            <w:tcW w:w="276" w:type="pct"/>
            <w:gridSpan w:val="2"/>
          </w:tcPr>
          <w:p w14:paraId="13BB62D6" w14:textId="77777777" w:rsidR="00AC6D14" w:rsidRPr="00A172CC" w:rsidRDefault="00AC6D14" w:rsidP="00322417"/>
        </w:tc>
        <w:tc>
          <w:tcPr>
            <w:tcW w:w="256" w:type="pct"/>
          </w:tcPr>
          <w:p w14:paraId="60122F1F" w14:textId="36E89988" w:rsidR="00AC6D14" w:rsidRPr="00A172CC" w:rsidRDefault="00AC6D14" w:rsidP="00322417"/>
        </w:tc>
        <w:tc>
          <w:tcPr>
            <w:tcW w:w="276" w:type="pct"/>
            <w:vAlign w:val="center"/>
          </w:tcPr>
          <w:p w14:paraId="3275C3CE" w14:textId="6106E1D2" w:rsidR="00AC6D14" w:rsidRPr="00A172CC" w:rsidRDefault="00AC6D14" w:rsidP="00322417"/>
        </w:tc>
        <w:tc>
          <w:tcPr>
            <w:tcW w:w="256" w:type="pct"/>
            <w:vAlign w:val="center"/>
          </w:tcPr>
          <w:p w14:paraId="6AE57932" w14:textId="77777777" w:rsidR="00AC6D14" w:rsidRPr="00A172CC" w:rsidRDefault="00AC6D14" w:rsidP="00322417"/>
        </w:tc>
        <w:tc>
          <w:tcPr>
            <w:tcW w:w="324" w:type="pct"/>
            <w:vAlign w:val="center"/>
          </w:tcPr>
          <w:p w14:paraId="00675852" w14:textId="77777777" w:rsidR="00AC6D14" w:rsidRPr="00A172CC" w:rsidRDefault="00AC6D14" w:rsidP="00322417"/>
        </w:tc>
        <w:tc>
          <w:tcPr>
            <w:tcW w:w="256" w:type="pct"/>
            <w:vAlign w:val="center"/>
          </w:tcPr>
          <w:p w14:paraId="17B3FDA9" w14:textId="77777777" w:rsidR="00AC6D14" w:rsidRPr="00A172CC" w:rsidRDefault="00AC6D14" w:rsidP="00322417"/>
        </w:tc>
        <w:tc>
          <w:tcPr>
            <w:tcW w:w="276" w:type="pct"/>
            <w:vAlign w:val="center"/>
          </w:tcPr>
          <w:p w14:paraId="6F16F4E4" w14:textId="77777777" w:rsidR="00AC6D14" w:rsidRPr="00A172CC" w:rsidRDefault="00AC6D14" w:rsidP="00322417"/>
        </w:tc>
        <w:tc>
          <w:tcPr>
            <w:tcW w:w="256" w:type="pct"/>
            <w:vAlign w:val="center"/>
          </w:tcPr>
          <w:p w14:paraId="5EBDB562" w14:textId="77777777" w:rsidR="00AC6D14" w:rsidRPr="00A172CC" w:rsidRDefault="00AC6D14" w:rsidP="00322417"/>
        </w:tc>
        <w:tc>
          <w:tcPr>
            <w:tcW w:w="276" w:type="pct"/>
            <w:vAlign w:val="center"/>
          </w:tcPr>
          <w:p w14:paraId="2EE46BDC" w14:textId="77777777" w:rsidR="00AC6D14" w:rsidRPr="00A172CC" w:rsidRDefault="00AC6D14" w:rsidP="00322417"/>
        </w:tc>
        <w:tc>
          <w:tcPr>
            <w:tcW w:w="256" w:type="pct"/>
            <w:vAlign w:val="center"/>
          </w:tcPr>
          <w:p w14:paraId="0C0AA90C" w14:textId="77777777" w:rsidR="00AC6D14" w:rsidRPr="00A172CC" w:rsidRDefault="00AC6D14" w:rsidP="00322417"/>
        </w:tc>
        <w:tc>
          <w:tcPr>
            <w:tcW w:w="276" w:type="pct"/>
            <w:vAlign w:val="center"/>
          </w:tcPr>
          <w:p w14:paraId="1003E7D6" w14:textId="77777777" w:rsidR="00AC6D14" w:rsidRPr="00A172CC" w:rsidRDefault="00AC6D14" w:rsidP="00322417"/>
        </w:tc>
        <w:tc>
          <w:tcPr>
            <w:tcW w:w="256" w:type="pct"/>
            <w:vAlign w:val="center"/>
          </w:tcPr>
          <w:p w14:paraId="00E1B23F" w14:textId="77777777" w:rsidR="00AC6D14" w:rsidRPr="00A172CC" w:rsidRDefault="00AC6D14" w:rsidP="00322417"/>
        </w:tc>
        <w:tc>
          <w:tcPr>
            <w:tcW w:w="324" w:type="pct"/>
            <w:vAlign w:val="center"/>
          </w:tcPr>
          <w:p w14:paraId="6D7FC285" w14:textId="77777777" w:rsidR="00AC6D14" w:rsidRPr="00A172CC" w:rsidRDefault="00AC6D14" w:rsidP="00322417"/>
        </w:tc>
        <w:tc>
          <w:tcPr>
            <w:tcW w:w="256" w:type="pct"/>
            <w:vAlign w:val="center"/>
          </w:tcPr>
          <w:p w14:paraId="59566BE4" w14:textId="77777777" w:rsidR="00AC6D14" w:rsidRPr="00A172CC" w:rsidRDefault="00AC6D14" w:rsidP="00322417"/>
        </w:tc>
      </w:tr>
      <w:tr w:rsidR="00AC6D14" w:rsidRPr="00A172CC" w14:paraId="324A4A41" w14:textId="77777777" w:rsidTr="00322417">
        <w:trPr>
          <w:trHeight w:hRule="exact" w:val="397"/>
        </w:trPr>
        <w:tc>
          <w:tcPr>
            <w:tcW w:w="651" w:type="pct"/>
            <w:vAlign w:val="center"/>
          </w:tcPr>
          <w:p w14:paraId="137253C8" w14:textId="77777777" w:rsidR="00AC6D14" w:rsidRPr="00A172CC" w:rsidRDefault="00AC6D14" w:rsidP="00322417">
            <w:r w:rsidRPr="00A172CC">
              <w:t>Pass</w:t>
            </w:r>
          </w:p>
        </w:tc>
        <w:tc>
          <w:tcPr>
            <w:tcW w:w="276" w:type="pct"/>
            <w:gridSpan w:val="2"/>
          </w:tcPr>
          <w:p w14:paraId="45304465" w14:textId="77777777" w:rsidR="00AC6D14" w:rsidRPr="00A172CC" w:rsidRDefault="00AC6D14" w:rsidP="00322417"/>
        </w:tc>
        <w:tc>
          <w:tcPr>
            <w:tcW w:w="256" w:type="pct"/>
          </w:tcPr>
          <w:p w14:paraId="67BC9F5F" w14:textId="77777777" w:rsidR="00AC6D14" w:rsidRPr="00A172CC" w:rsidRDefault="00AC6D14" w:rsidP="00322417"/>
        </w:tc>
        <w:tc>
          <w:tcPr>
            <w:tcW w:w="276" w:type="pct"/>
            <w:gridSpan w:val="2"/>
          </w:tcPr>
          <w:p w14:paraId="4A3AE0B2" w14:textId="77777777" w:rsidR="00AC6D14" w:rsidRPr="00A172CC" w:rsidRDefault="00AC6D14" w:rsidP="00322417"/>
        </w:tc>
        <w:tc>
          <w:tcPr>
            <w:tcW w:w="256" w:type="pct"/>
          </w:tcPr>
          <w:p w14:paraId="773F6A18" w14:textId="1C069FE1" w:rsidR="00AC6D14" w:rsidRPr="00A172CC" w:rsidRDefault="00AC6D14" w:rsidP="00322417"/>
        </w:tc>
        <w:tc>
          <w:tcPr>
            <w:tcW w:w="276" w:type="pct"/>
            <w:vAlign w:val="center"/>
          </w:tcPr>
          <w:p w14:paraId="2404C8A5" w14:textId="34A69F70" w:rsidR="00AC6D14" w:rsidRPr="00A172CC" w:rsidRDefault="00AC6D14" w:rsidP="00322417"/>
        </w:tc>
        <w:tc>
          <w:tcPr>
            <w:tcW w:w="256" w:type="pct"/>
            <w:vAlign w:val="center"/>
          </w:tcPr>
          <w:p w14:paraId="66922321" w14:textId="77777777" w:rsidR="00AC6D14" w:rsidRPr="00A172CC" w:rsidRDefault="00AC6D14" w:rsidP="00322417"/>
        </w:tc>
        <w:tc>
          <w:tcPr>
            <w:tcW w:w="324" w:type="pct"/>
            <w:vAlign w:val="center"/>
          </w:tcPr>
          <w:p w14:paraId="0F5A83E1" w14:textId="77777777" w:rsidR="00AC6D14" w:rsidRPr="00A172CC" w:rsidRDefault="00AC6D14" w:rsidP="00322417"/>
        </w:tc>
        <w:tc>
          <w:tcPr>
            <w:tcW w:w="256" w:type="pct"/>
            <w:vAlign w:val="center"/>
          </w:tcPr>
          <w:p w14:paraId="1E820EE1" w14:textId="77777777" w:rsidR="00AC6D14" w:rsidRPr="00A172CC" w:rsidRDefault="00AC6D14" w:rsidP="00322417"/>
        </w:tc>
        <w:tc>
          <w:tcPr>
            <w:tcW w:w="276" w:type="pct"/>
            <w:vAlign w:val="center"/>
          </w:tcPr>
          <w:p w14:paraId="7E8193CB" w14:textId="77777777" w:rsidR="00AC6D14" w:rsidRPr="00A172CC" w:rsidRDefault="00AC6D14" w:rsidP="00322417">
            <w:r w:rsidRPr="00A172CC">
              <w:t>1</w:t>
            </w:r>
          </w:p>
        </w:tc>
        <w:tc>
          <w:tcPr>
            <w:tcW w:w="256" w:type="pct"/>
            <w:vAlign w:val="center"/>
          </w:tcPr>
          <w:p w14:paraId="4C0FCC94" w14:textId="77777777" w:rsidR="00AC6D14" w:rsidRPr="00A172CC" w:rsidRDefault="00AC6D14" w:rsidP="00322417">
            <w:r w:rsidRPr="00A172CC">
              <w:t>1</w:t>
            </w:r>
          </w:p>
        </w:tc>
        <w:tc>
          <w:tcPr>
            <w:tcW w:w="276" w:type="pct"/>
            <w:vAlign w:val="center"/>
          </w:tcPr>
          <w:p w14:paraId="15283118" w14:textId="77777777" w:rsidR="00AC6D14" w:rsidRPr="00A172CC" w:rsidRDefault="00AC6D14" w:rsidP="00322417">
            <w:r w:rsidRPr="00A172CC">
              <w:t>1</w:t>
            </w:r>
          </w:p>
        </w:tc>
        <w:tc>
          <w:tcPr>
            <w:tcW w:w="256" w:type="pct"/>
            <w:vAlign w:val="center"/>
          </w:tcPr>
          <w:p w14:paraId="41F02BB4" w14:textId="77777777" w:rsidR="00AC6D14" w:rsidRPr="00A172CC" w:rsidRDefault="00AC6D14" w:rsidP="00322417">
            <w:r w:rsidRPr="00A172CC">
              <w:t>1</w:t>
            </w:r>
          </w:p>
        </w:tc>
        <w:tc>
          <w:tcPr>
            <w:tcW w:w="276" w:type="pct"/>
            <w:vAlign w:val="center"/>
          </w:tcPr>
          <w:p w14:paraId="35C964E5" w14:textId="77777777" w:rsidR="00AC6D14" w:rsidRPr="00A172CC" w:rsidRDefault="00AC6D14" w:rsidP="00322417"/>
        </w:tc>
        <w:tc>
          <w:tcPr>
            <w:tcW w:w="256" w:type="pct"/>
            <w:vAlign w:val="center"/>
          </w:tcPr>
          <w:p w14:paraId="0A306A21" w14:textId="77777777" w:rsidR="00AC6D14" w:rsidRPr="00A172CC" w:rsidRDefault="00AC6D14" w:rsidP="00322417"/>
        </w:tc>
        <w:tc>
          <w:tcPr>
            <w:tcW w:w="324" w:type="pct"/>
            <w:vAlign w:val="center"/>
          </w:tcPr>
          <w:p w14:paraId="7E642BA8" w14:textId="77777777" w:rsidR="00AC6D14" w:rsidRPr="00A172CC" w:rsidRDefault="00AC6D14" w:rsidP="00322417"/>
        </w:tc>
        <w:tc>
          <w:tcPr>
            <w:tcW w:w="256" w:type="pct"/>
            <w:vAlign w:val="center"/>
          </w:tcPr>
          <w:p w14:paraId="63EBCAA9" w14:textId="77777777" w:rsidR="00AC6D14" w:rsidRPr="00A172CC" w:rsidRDefault="00AC6D14" w:rsidP="00322417"/>
        </w:tc>
      </w:tr>
      <w:tr w:rsidR="00322417" w:rsidRPr="00A172CC" w14:paraId="587795C1" w14:textId="77777777" w:rsidTr="00322417">
        <w:trPr>
          <w:trHeight w:hRule="exact" w:val="397"/>
        </w:trPr>
        <w:tc>
          <w:tcPr>
            <w:tcW w:w="651" w:type="pct"/>
            <w:vAlign w:val="center"/>
          </w:tcPr>
          <w:p w14:paraId="670F7CAC" w14:textId="77777777" w:rsidR="00322417" w:rsidRPr="00A172CC" w:rsidRDefault="00322417" w:rsidP="00322417">
            <w:r w:rsidRPr="00A172CC">
              <w:t>Fail</w:t>
            </w:r>
          </w:p>
        </w:tc>
        <w:tc>
          <w:tcPr>
            <w:tcW w:w="265" w:type="pct"/>
          </w:tcPr>
          <w:p w14:paraId="541C30F2" w14:textId="77777777" w:rsidR="00322417" w:rsidRPr="00A172CC" w:rsidRDefault="00322417" w:rsidP="00322417"/>
        </w:tc>
        <w:tc>
          <w:tcPr>
            <w:tcW w:w="266" w:type="pct"/>
            <w:gridSpan w:val="2"/>
          </w:tcPr>
          <w:p w14:paraId="588E8DE7" w14:textId="77777777" w:rsidR="00322417" w:rsidRPr="00A172CC" w:rsidRDefault="00322417" w:rsidP="00322417"/>
        </w:tc>
        <w:tc>
          <w:tcPr>
            <w:tcW w:w="265" w:type="pct"/>
          </w:tcPr>
          <w:p w14:paraId="6FE6B686" w14:textId="77777777" w:rsidR="00322417" w:rsidRPr="00A172CC" w:rsidRDefault="00322417" w:rsidP="00322417"/>
        </w:tc>
        <w:tc>
          <w:tcPr>
            <w:tcW w:w="266" w:type="pct"/>
            <w:gridSpan w:val="2"/>
          </w:tcPr>
          <w:p w14:paraId="6E102A46" w14:textId="68CB2375" w:rsidR="00322417" w:rsidRPr="00A172CC" w:rsidRDefault="00322417" w:rsidP="00322417"/>
        </w:tc>
        <w:tc>
          <w:tcPr>
            <w:tcW w:w="276" w:type="pct"/>
            <w:vAlign w:val="center"/>
          </w:tcPr>
          <w:p w14:paraId="582EC340" w14:textId="56D615D3" w:rsidR="00322417" w:rsidRPr="00A172CC" w:rsidRDefault="00322417" w:rsidP="00322417">
            <w:r w:rsidRPr="00A172CC">
              <w:t>1</w:t>
            </w:r>
          </w:p>
        </w:tc>
        <w:tc>
          <w:tcPr>
            <w:tcW w:w="256" w:type="pct"/>
            <w:vAlign w:val="center"/>
          </w:tcPr>
          <w:p w14:paraId="15055641" w14:textId="77777777" w:rsidR="00322417" w:rsidRPr="00A172CC" w:rsidRDefault="00322417" w:rsidP="00322417">
            <w:r w:rsidRPr="00A172CC">
              <w:t>1</w:t>
            </w:r>
          </w:p>
        </w:tc>
        <w:tc>
          <w:tcPr>
            <w:tcW w:w="324" w:type="pct"/>
            <w:vAlign w:val="center"/>
          </w:tcPr>
          <w:p w14:paraId="08CAB397" w14:textId="77777777" w:rsidR="00322417" w:rsidRPr="00A172CC" w:rsidRDefault="00322417" w:rsidP="00322417">
            <w:r w:rsidRPr="00A172CC">
              <w:t>1</w:t>
            </w:r>
          </w:p>
        </w:tc>
        <w:tc>
          <w:tcPr>
            <w:tcW w:w="256" w:type="pct"/>
            <w:vAlign w:val="center"/>
          </w:tcPr>
          <w:p w14:paraId="63584F44" w14:textId="77777777" w:rsidR="00322417" w:rsidRPr="00A172CC" w:rsidRDefault="00322417" w:rsidP="00322417">
            <w:r w:rsidRPr="00A172CC">
              <w:t>1</w:t>
            </w:r>
          </w:p>
        </w:tc>
        <w:tc>
          <w:tcPr>
            <w:tcW w:w="276" w:type="pct"/>
            <w:vAlign w:val="center"/>
          </w:tcPr>
          <w:p w14:paraId="4DE5D25F" w14:textId="77777777" w:rsidR="00322417" w:rsidRPr="00A172CC" w:rsidRDefault="00322417" w:rsidP="00322417"/>
        </w:tc>
        <w:tc>
          <w:tcPr>
            <w:tcW w:w="256" w:type="pct"/>
            <w:vAlign w:val="center"/>
          </w:tcPr>
          <w:p w14:paraId="04C46B38" w14:textId="77777777" w:rsidR="00322417" w:rsidRPr="00A172CC" w:rsidRDefault="00322417" w:rsidP="00322417"/>
        </w:tc>
        <w:tc>
          <w:tcPr>
            <w:tcW w:w="276" w:type="pct"/>
            <w:vAlign w:val="center"/>
          </w:tcPr>
          <w:p w14:paraId="7E51FB9D" w14:textId="77777777" w:rsidR="00322417" w:rsidRPr="00A172CC" w:rsidRDefault="00322417" w:rsidP="00322417"/>
        </w:tc>
        <w:tc>
          <w:tcPr>
            <w:tcW w:w="256" w:type="pct"/>
            <w:vAlign w:val="center"/>
          </w:tcPr>
          <w:p w14:paraId="2A2E9FB0" w14:textId="77777777" w:rsidR="00322417" w:rsidRPr="00A172CC" w:rsidRDefault="00322417" w:rsidP="00322417"/>
        </w:tc>
        <w:tc>
          <w:tcPr>
            <w:tcW w:w="276" w:type="pct"/>
            <w:vAlign w:val="center"/>
          </w:tcPr>
          <w:p w14:paraId="59B0DAE8" w14:textId="77777777" w:rsidR="00322417" w:rsidRPr="00A172CC" w:rsidRDefault="00322417" w:rsidP="00322417"/>
        </w:tc>
        <w:tc>
          <w:tcPr>
            <w:tcW w:w="256" w:type="pct"/>
            <w:vAlign w:val="center"/>
          </w:tcPr>
          <w:p w14:paraId="70CAEA6B" w14:textId="77777777" w:rsidR="00322417" w:rsidRPr="00A172CC" w:rsidRDefault="00322417" w:rsidP="00322417"/>
        </w:tc>
        <w:tc>
          <w:tcPr>
            <w:tcW w:w="324" w:type="pct"/>
            <w:vAlign w:val="center"/>
          </w:tcPr>
          <w:p w14:paraId="338FF98B" w14:textId="77777777" w:rsidR="00322417" w:rsidRPr="00A172CC" w:rsidRDefault="00322417" w:rsidP="00322417"/>
        </w:tc>
        <w:tc>
          <w:tcPr>
            <w:tcW w:w="256" w:type="pct"/>
            <w:vAlign w:val="center"/>
          </w:tcPr>
          <w:p w14:paraId="356507EA" w14:textId="77777777" w:rsidR="00322417" w:rsidRPr="00A172CC" w:rsidRDefault="00322417" w:rsidP="00322417"/>
        </w:tc>
      </w:tr>
      <w:tr w:rsidR="00322417" w:rsidRPr="00A172CC" w14:paraId="264806BB" w14:textId="77777777" w:rsidTr="00322417">
        <w:trPr>
          <w:trHeight w:hRule="exact" w:val="397"/>
        </w:trPr>
        <w:tc>
          <w:tcPr>
            <w:tcW w:w="651" w:type="pct"/>
            <w:vAlign w:val="center"/>
          </w:tcPr>
          <w:p w14:paraId="7EB8F350" w14:textId="77777777" w:rsidR="00322417" w:rsidRPr="00A172CC" w:rsidRDefault="00322417" w:rsidP="00322417">
            <w:r w:rsidRPr="00A172CC">
              <w:t>Total</w:t>
            </w:r>
          </w:p>
        </w:tc>
        <w:tc>
          <w:tcPr>
            <w:tcW w:w="265" w:type="pct"/>
          </w:tcPr>
          <w:p w14:paraId="69B5D7B9" w14:textId="36FB807A" w:rsidR="00322417" w:rsidRPr="00A172CC" w:rsidRDefault="00CF46C9" w:rsidP="00322417">
            <w:r>
              <w:t>75</w:t>
            </w:r>
          </w:p>
        </w:tc>
        <w:tc>
          <w:tcPr>
            <w:tcW w:w="266" w:type="pct"/>
            <w:gridSpan w:val="2"/>
          </w:tcPr>
          <w:p w14:paraId="0021C055" w14:textId="77777777" w:rsidR="00322417" w:rsidRPr="00A172CC" w:rsidRDefault="00322417" w:rsidP="00322417"/>
        </w:tc>
        <w:tc>
          <w:tcPr>
            <w:tcW w:w="265" w:type="pct"/>
          </w:tcPr>
          <w:p w14:paraId="29DC347A" w14:textId="6A7A7230" w:rsidR="00322417" w:rsidRPr="00A172CC" w:rsidRDefault="00CF46C9" w:rsidP="00322417">
            <w:r>
              <w:t>99</w:t>
            </w:r>
          </w:p>
        </w:tc>
        <w:tc>
          <w:tcPr>
            <w:tcW w:w="266" w:type="pct"/>
            <w:gridSpan w:val="2"/>
          </w:tcPr>
          <w:p w14:paraId="1BE93E77" w14:textId="115E4CD2" w:rsidR="00322417" w:rsidRPr="00A172CC" w:rsidRDefault="00322417" w:rsidP="00322417"/>
        </w:tc>
        <w:tc>
          <w:tcPr>
            <w:tcW w:w="276" w:type="pct"/>
            <w:vAlign w:val="center"/>
          </w:tcPr>
          <w:p w14:paraId="185B3AFA" w14:textId="7D32AB79" w:rsidR="00322417" w:rsidRPr="00A172CC" w:rsidRDefault="00322417" w:rsidP="00322417">
            <w:r w:rsidRPr="00A172CC">
              <w:t>89</w:t>
            </w:r>
          </w:p>
        </w:tc>
        <w:tc>
          <w:tcPr>
            <w:tcW w:w="256" w:type="pct"/>
            <w:vAlign w:val="center"/>
          </w:tcPr>
          <w:p w14:paraId="7EF2467C" w14:textId="77777777" w:rsidR="00322417" w:rsidRPr="00A172CC" w:rsidRDefault="00322417" w:rsidP="00322417"/>
        </w:tc>
        <w:tc>
          <w:tcPr>
            <w:tcW w:w="324" w:type="pct"/>
            <w:vAlign w:val="center"/>
          </w:tcPr>
          <w:p w14:paraId="2F86EFB2" w14:textId="77777777" w:rsidR="00322417" w:rsidRPr="00A172CC" w:rsidRDefault="00322417" w:rsidP="00322417">
            <w:r w:rsidRPr="00A172CC">
              <w:t>113</w:t>
            </w:r>
          </w:p>
        </w:tc>
        <w:tc>
          <w:tcPr>
            <w:tcW w:w="256" w:type="pct"/>
            <w:vAlign w:val="center"/>
          </w:tcPr>
          <w:p w14:paraId="66A641D3" w14:textId="77777777" w:rsidR="00322417" w:rsidRPr="00A172CC" w:rsidRDefault="00322417" w:rsidP="00322417"/>
        </w:tc>
        <w:tc>
          <w:tcPr>
            <w:tcW w:w="276" w:type="pct"/>
            <w:vAlign w:val="center"/>
          </w:tcPr>
          <w:p w14:paraId="13382468" w14:textId="77777777" w:rsidR="00322417" w:rsidRPr="00A172CC" w:rsidRDefault="00322417" w:rsidP="00322417">
            <w:r w:rsidRPr="00A172CC">
              <w:t>81</w:t>
            </w:r>
          </w:p>
        </w:tc>
        <w:tc>
          <w:tcPr>
            <w:tcW w:w="256" w:type="pct"/>
            <w:vAlign w:val="center"/>
          </w:tcPr>
          <w:p w14:paraId="6BD95AB5" w14:textId="77777777" w:rsidR="00322417" w:rsidRPr="00A172CC" w:rsidRDefault="00322417" w:rsidP="00322417"/>
        </w:tc>
        <w:tc>
          <w:tcPr>
            <w:tcW w:w="276" w:type="pct"/>
            <w:vAlign w:val="center"/>
          </w:tcPr>
          <w:p w14:paraId="0C79C30D" w14:textId="77777777" w:rsidR="00322417" w:rsidRPr="00A172CC" w:rsidRDefault="00322417" w:rsidP="00322417">
            <w:r w:rsidRPr="00A172CC">
              <w:t>99</w:t>
            </w:r>
          </w:p>
        </w:tc>
        <w:tc>
          <w:tcPr>
            <w:tcW w:w="256" w:type="pct"/>
            <w:vAlign w:val="center"/>
          </w:tcPr>
          <w:p w14:paraId="363C6F6A" w14:textId="77777777" w:rsidR="00322417" w:rsidRPr="00A172CC" w:rsidRDefault="00322417" w:rsidP="00322417"/>
        </w:tc>
        <w:tc>
          <w:tcPr>
            <w:tcW w:w="276" w:type="pct"/>
            <w:vAlign w:val="center"/>
          </w:tcPr>
          <w:p w14:paraId="478AF6FF" w14:textId="77777777" w:rsidR="00322417" w:rsidRPr="00A172CC" w:rsidRDefault="00322417" w:rsidP="00322417">
            <w:r w:rsidRPr="00A172CC">
              <w:t>79</w:t>
            </w:r>
          </w:p>
        </w:tc>
        <w:tc>
          <w:tcPr>
            <w:tcW w:w="256" w:type="pct"/>
            <w:vAlign w:val="center"/>
          </w:tcPr>
          <w:p w14:paraId="39326509" w14:textId="77777777" w:rsidR="00322417" w:rsidRPr="00A172CC" w:rsidRDefault="00322417" w:rsidP="00322417"/>
        </w:tc>
        <w:tc>
          <w:tcPr>
            <w:tcW w:w="324" w:type="pct"/>
            <w:vAlign w:val="center"/>
          </w:tcPr>
          <w:p w14:paraId="5D5AE049" w14:textId="77777777" w:rsidR="00322417" w:rsidRPr="00A172CC" w:rsidRDefault="00322417" w:rsidP="00322417">
            <w:r w:rsidRPr="00A172CC">
              <w:t>110</w:t>
            </w:r>
          </w:p>
        </w:tc>
        <w:tc>
          <w:tcPr>
            <w:tcW w:w="256" w:type="pct"/>
            <w:vAlign w:val="center"/>
          </w:tcPr>
          <w:p w14:paraId="025B3E72" w14:textId="77777777" w:rsidR="00322417" w:rsidRPr="00A172CC" w:rsidRDefault="00322417" w:rsidP="00322417"/>
        </w:tc>
      </w:tr>
    </w:tbl>
    <w:p w14:paraId="546094F0" w14:textId="77777777" w:rsidR="00322417" w:rsidRDefault="00B34129" w:rsidP="00131FDC">
      <w:pPr>
        <w:spacing w:after="0"/>
        <w:rPr>
          <w:rStyle w:val="Ref"/>
          <w:rFonts w:eastAsia="Calibri"/>
          <w:color w:val="000000"/>
          <w:szCs w:val="23"/>
        </w:rPr>
      </w:pPr>
      <w:r w:rsidRPr="004256D6">
        <w:rPr>
          <w:rStyle w:val="Ref"/>
          <w:rFonts w:eastAsia="Calibri"/>
          <w:color w:val="000000"/>
          <w:szCs w:val="23"/>
        </w:rPr>
        <w:t xml:space="preserve"> </w:t>
      </w:r>
    </w:p>
    <w:p w14:paraId="38B23ED1" w14:textId="77777777" w:rsidR="00322417" w:rsidRPr="00A172CC" w:rsidRDefault="00322417" w:rsidP="00322417">
      <w:bookmarkStart w:id="5" w:name="_Toc493244217"/>
      <w:bookmarkStart w:id="6" w:name="_Toc493244726"/>
      <w:bookmarkStart w:id="7" w:name="_Toc525140715"/>
      <w:r w:rsidRPr="00A172CC">
        <w:t>FHS Course 2, BA Law with Law Studies in Europe</w:t>
      </w:r>
      <w:bookmarkEnd w:id="5"/>
      <w:bookmarkEnd w:id="6"/>
      <w:bookmarkEnd w:id="7"/>
    </w:p>
    <w:p w14:paraId="25F2F1C5" w14:textId="77777777" w:rsidR="00322417" w:rsidRDefault="00322417" w:rsidP="00131FDC">
      <w:pPr>
        <w:spacing w:after="0"/>
        <w:rPr>
          <w:rStyle w:val="Ref"/>
          <w:rFonts w:eastAsia="Calibri"/>
          <w:color w:val="000000"/>
          <w:szCs w:val="23"/>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13"/>
        <w:gridCol w:w="515"/>
        <w:gridCol w:w="513"/>
        <w:gridCol w:w="515"/>
        <w:gridCol w:w="503"/>
        <w:gridCol w:w="507"/>
        <w:gridCol w:w="503"/>
        <w:gridCol w:w="505"/>
        <w:gridCol w:w="503"/>
        <w:gridCol w:w="503"/>
        <w:gridCol w:w="503"/>
        <w:gridCol w:w="503"/>
        <w:gridCol w:w="503"/>
        <w:gridCol w:w="503"/>
        <w:gridCol w:w="503"/>
        <w:gridCol w:w="462"/>
      </w:tblGrid>
      <w:tr w:rsidR="00CF46C9" w:rsidRPr="00A172CC" w14:paraId="4AD15611" w14:textId="77777777" w:rsidTr="00CF46C9">
        <w:trPr>
          <w:trHeight w:hRule="exact" w:val="395"/>
        </w:trPr>
        <w:tc>
          <w:tcPr>
            <w:tcW w:w="534" w:type="pct"/>
            <w:vAlign w:val="center"/>
          </w:tcPr>
          <w:p w14:paraId="7431E655" w14:textId="77777777" w:rsidR="00CF46C9" w:rsidRPr="00A172CC" w:rsidRDefault="00CF46C9" w:rsidP="00322417"/>
        </w:tc>
        <w:tc>
          <w:tcPr>
            <w:tcW w:w="1137" w:type="pct"/>
            <w:gridSpan w:val="4"/>
          </w:tcPr>
          <w:p w14:paraId="4F0EEBA7" w14:textId="1534DF85" w:rsidR="00CF46C9" w:rsidRPr="00A172CC" w:rsidRDefault="00CF46C9" w:rsidP="00322417">
            <w:r>
              <w:t>2020</w:t>
            </w:r>
          </w:p>
        </w:tc>
        <w:tc>
          <w:tcPr>
            <w:tcW w:w="1119" w:type="pct"/>
            <w:gridSpan w:val="4"/>
            <w:vAlign w:val="center"/>
          </w:tcPr>
          <w:p w14:paraId="395E4DEE" w14:textId="26FCE5F7" w:rsidR="00CF46C9" w:rsidRPr="00A172CC" w:rsidRDefault="00CF46C9" w:rsidP="00322417">
            <w:r w:rsidRPr="00A172CC">
              <w:t>2019</w:t>
            </w:r>
          </w:p>
        </w:tc>
        <w:tc>
          <w:tcPr>
            <w:tcW w:w="1115" w:type="pct"/>
            <w:gridSpan w:val="4"/>
            <w:vAlign w:val="center"/>
          </w:tcPr>
          <w:p w14:paraId="71E07175" w14:textId="77777777" w:rsidR="00CF46C9" w:rsidRPr="00A172CC" w:rsidRDefault="00CF46C9" w:rsidP="00322417">
            <w:r w:rsidRPr="00A172CC">
              <w:t>2018</w:t>
            </w:r>
          </w:p>
        </w:tc>
        <w:tc>
          <w:tcPr>
            <w:tcW w:w="1094" w:type="pct"/>
            <w:gridSpan w:val="4"/>
            <w:vAlign w:val="center"/>
          </w:tcPr>
          <w:p w14:paraId="4A6D9914" w14:textId="52337B52" w:rsidR="00CF46C9" w:rsidRPr="00A172CC" w:rsidRDefault="00CF46C9" w:rsidP="00322417">
            <w:r w:rsidRPr="00A172CC">
              <w:t>201</w:t>
            </w:r>
            <w:r>
              <w:t>7</w:t>
            </w:r>
          </w:p>
        </w:tc>
      </w:tr>
      <w:tr w:rsidR="00CF46C9" w:rsidRPr="00A172CC" w14:paraId="03401DCD" w14:textId="77777777" w:rsidTr="00CF46C9">
        <w:trPr>
          <w:trHeight w:hRule="exact" w:val="395"/>
        </w:trPr>
        <w:tc>
          <w:tcPr>
            <w:tcW w:w="534" w:type="pct"/>
            <w:vAlign w:val="center"/>
          </w:tcPr>
          <w:p w14:paraId="5BDFA942" w14:textId="77777777" w:rsidR="00CF46C9" w:rsidRPr="00A172CC" w:rsidRDefault="00CF46C9" w:rsidP="00322417"/>
        </w:tc>
        <w:tc>
          <w:tcPr>
            <w:tcW w:w="569" w:type="pct"/>
            <w:gridSpan w:val="2"/>
          </w:tcPr>
          <w:p w14:paraId="52861231" w14:textId="61A734BE" w:rsidR="00CF46C9" w:rsidRPr="00A172CC" w:rsidRDefault="004D7B9B" w:rsidP="00322417">
            <w:r>
              <w:t>Male</w:t>
            </w:r>
          </w:p>
        </w:tc>
        <w:tc>
          <w:tcPr>
            <w:tcW w:w="569" w:type="pct"/>
            <w:gridSpan w:val="2"/>
          </w:tcPr>
          <w:p w14:paraId="032A0676" w14:textId="13C4E856" w:rsidR="00CF46C9" w:rsidRPr="00A172CC" w:rsidRDefault="004D7B9B" w:rsidP="00322417">
            <w:r>
              <w:t>Female</w:t>
            </w:r>
          </w:p>
        </w:tc>
        <w:tc>
          <w:tcPr>
            <w:tcW w:w="560" w:type="pct"/>
            <w:gridSpan w:val="2"/>
            <w:vAlign w:val="center"/>
          </w:tcPr>
          <w:p w14:paraId="2E6D3613" w14:textId="0A7344FB" w:rsidR="00CF46C9" w:rsidRPr="00A172CC" w:rsidRDefault="00CF46C9" w:rsidP="00322417">
            <w:r w:rsidRPr="00A172CC">
              <w:t>Male</w:t>
            </w:r>
          </w:p>
        </w:tc>
        <w:tc>
          <w:tcPr>
            <w:tcW w:w="559" w:type="pct"/>
            <w:gridSpan w:val="2"/>
            <w:vAlign w:val="center"/>
          </w:tcPr>
          <w:p w14:paraId="2EC03C5D" w14:textId="77777777" w:rsidR="00CF46C9" w:rsidRPr="00A172CC" w:rsidRDefault="00CF46C9" w:rsidP="00322417">
            <w:r w:rsidRPr="00A172CC">
              <w:t>Female</w:t>
            </w:r>
          </w:p>
        </w:tc>
        <w:tc>
          <w:tcPr>
            <w:tcW w:w="558" w:type="pct"/>
            <w:gridSpan w:val="2"/>
            <w:vAlign w:val="center"/>
          </w:tcPr>
          <w:p w14:paraId="1FD87DE0" w14:textId="77777777" w:rsidR="00CF46C9" w:rsidRPr="00A172CC" w:rsidRDefault="00CF46C9" w:rsidP="00322417">
            <w:r w:rsidRPr="00A172CC">
              <w:t>Male</w:t>
            </w:r>
          </w:p>
        </w:tc>
        <w:tc>
          <w:tcPr>
            <w:tcW w:w="558" w:type="pct"/>
            <w:gridSpan w:val="2"/>
            <w:vAlign w:val="center"/>
          </w:tcPr>
          <w:p w14:paraId="4F61B5CB" w14:textId="77777777" w:rsidR="00CF46C9" w:rsidRPr="00A172CC" w:rsidRDefault="00CF46C9" w:rsidP="00322417">
            <w:r w:rsidRPr="00A172CC">
              <w:t>Female</w:t>
            </w:r>
          </w:p>
        </w:tc>
        <w:tc>
          <w:tcPr>
            <w:tcW w:w="558" w:type="pct"/>
            <w:gridSpan w:val="2"/>
            <w:vAlign w:val="center"/>
          </w:tcPr>
          <w:p w14:paraId="72880828" w14:textId="77777777" w:rsidR="00CF46C9" w:rsidRPr="00A172CC" w:rsidRDefault="00CF46C9" w:rsidP="00322417">
            <w:r w:rsidRPr="00A172CC">
              <w:t>Male</w:t>
            </w:r>
          </w:p>
        </w:tc>
        <w:tc>
          <w:tcPr>
            <w:tcW w:w="537" w:type="pct"/>
            <w:gridSpan w:val="2"/>
            <w:vAlign w:val="center"/>
          </w:tcPr>
          <w:p w14:paraId="67ADD772" w14:textId="77777777" w:rsidR="00CF46C9" w:rsidRPr="00A172CC" w:rsidRDefault="00CF46C9" w:rsidP="00322417">
            <w:r w:rsidRPr="00A172CC">
              <w:t>Female</w:t>
            </w:r>
          </w:p>
        </w:tc>
      </w:tr>
      <w:tr w:rsidR="00CF46C9" w:rsidRPr="00A172CC" w14:paraId="3C2E828C" w14:textId="77777777" w:rsidTr="00CF46C9">
        <w:trPr>
          <w:trHeight w:hRule="exact" w:val="395"/>
        </w:trPr>
        <w:tc>
          <w:tcPr>
            <w:tcW w:w="534" w:type="pct"/>
          </w:tcPr>
          <w:p w14:paraId="4DC4031C" w14:textId="77777777" w:rsidR="00CF46C9" w:rsidRPr="00A172CC" w:rsidRDefault="00CF46C9" w:rsidP="00322417"/>
        </w:tc>
        <w:tc>
          <w:tcPr>
            <w:tcW w:w="284" w:type="pct"/>
          </w:tcPr>
          <w:p w14:paraId="1B375324" w14:textId="3C82942F" w:rsidR="00CF46C9" w:rsidRPr="00A172CC" w:rsidRDefault="00CF46C9" w:rsidP="00322417">
            <w:r>
              <w:t>No</w:t>
            </w:r>
          </w:p>
        </w:tc>
        <w:tc>
          <w:tcPr>
            <w:tcW w:w="284" w:type="pct"/>
          </w:tcPr>
          <w:p w14:paraId="347D5FA0" w14:textId="787B9A4D" w:rsidR="00CF46C9" w:rsidRPr="00A172CC" w:rsidRDefault="00CF46C9" w:rsidP="00322417">
            <w:r>
              <w:t>%</w:t>
            </w:r>
          </w:p>
        </w:tc>
        <w:tc>
          <w:tcPr>
            <w:tcW w:w="284" w:type="pct"/>
          </w:tcPr>
          <w:p w14:paraId="48CA44E8" w14:textId="539445FF" w:rsidR="00CF46C9" w:rsidRPr="00A172CC" w:rsidRDefault="00CF46C9" w:rsidP="00322417">
            <w:r>
              <w:t>No</w:t>
            </w:r>
          </w:p>
        </w:tc>
        <w:tc>
          <w:tcPr>
            <w:tcW w:w="284" w:type="pct"/>
          </w:tcPr>
          <w:p w14:paraId="74F3E7F1" w14:textId="7A4E2080" w:rsidR="00CF46C9" w:rsidRPr="00A172CC" w:rsidRDefault="00CF46C9" w:rsidP="00322417">
            <w:r>
              <w:t>%</w:t>
            </w:r>
          </w:p>
        </w:tc>
        <w:tc>
          <w:tcPr>
            <w:tcW w:w="279" w:type="pct"/>
            <w:vAlign w:val="center"/>
          </w:tcPr>
          <w:p w14:paraId="73B82782" w14:textId="7E4695F6" w:rsidR="00CF46C9" w:rsidRPr="00A172CC" w:rsidRDefault="00CF46C9" w:rsidP="00322417">
            <w:r w:rsidRPr="00A172CC">
              <w:t>No</w:t>
            </w:r>
          </w:p>
        </w:tc>
        <w:tc>
          <w:tcPr>
            <w:tcW w:w="281" w:type="pct"/>
            <w:vAlign w:val="center"/>
          </w:tcPr>
          <w:p w14:paraId="7AD08B00" w14:textId="77777777" w:rsidR="00CF46C9" w:rsidRPr="00A172CC" w:rsidRDefault="00CF46C9" w:rsidP="00322417">
            <w:r w:rsidRPr="00A172CC">
              <w:t>%</w:t>
            </w:r>
          </w:p>
        </w:tc>
        <w:tc>
          <w:tcPr>
            <w:tcW w:w="279" w:type="pct"/>
            <w:vAlign w:val="center"/>
          </w:tcPr>
          <w:p w14:paraId="2D718B0B" w14:textId="77777777" w:rsidR="00CF46C9" w:rsidRPr="00A172CC" w:rsidRDefault="00CF46C9" w:rsidP="00322417">
            <w:r w:rsidRPr="00A172CC">
              <w:t>No</w:t>
            </w:r>
          </w:p>
        </w:tc>
        <w:tc>
          <w:tcPr>
            <w:tcW w:w="280" w:type="pct"/>
            <w:vAlign w:val="center"/>
          </w:tcPr>
          <w:p w14:paraId="77EFEB33" w14:textId="77777777" w:rsidR="00CF46C9" w:rsidRPr="00A172CC" w:rsidRDefault="00CF46C9" w:rsidP="00322417">
            <w:r w:rsidRPr="00A172CC">
              <w:t>%</w:t>
            </w:r>
          </w:p>
        </w:tc>
        <w:tc>
          <w:tcPr>
            <w:tcW w:w="279" w:type="pct"/>
            <w:vAlign w:val="center"/>
          </w:tcPr>
          <w:p w14:paraId="4A1F0B4C" w14:textId="77777777" w:rsidR="00CF46C9" w:rsidRPr="00A172CC" w:rsidRDefault="00CF46C9" w:rsidP="00322417">
            <w:r w:rsidRPr="00A172CC">
              <w:t>No</w:t>
            </w:r>
          </w:p>
        </w:tc>
        <w:tc>
          <w:tcPr>
            <w:tcW w:w="279" w:type="pct"/>
            <w:vAlign w:val="center"/>
          </w:tcPr>
          <w:p w14:paraId="2401418C" w14:textId="77777777" w:rsidR="00CF46C9" w:rsidRPr="00A172CC" w:rsidRDefault="00CF46C9" w:rsidP="00322417">
            <w:r w:rsidRPr="00A172CC">
              <w:t>%</w:t>
            </w:r>
          </w:p>
        </w:tc>
        <w:tc>
          <w:tcPr>
            <w:tcW w:w="279" w:type="pct"/>
            <w:vAlign w:val="center"/>
          </w:tcPr>
          <w:p w14:paraId="5F3C50A7" w14:textId="77777777" w:rsidR="00CF46C9" w:rsidRPr="00A172CC" w:rsidRDefault="00CF46C9" w:rsidP="00322417">
            <w:r w:rsidRPr="00A172CC">
              <w:t>No</w:t>
            </w:r>
          </w:p>
        </w:tc>
        <w:tc>
          <w:tcPr>
            <w:tcW w:w="279" w:type="pct"/>
            <w:vAlign w:val="center"/>
          </w:tcPr>
          <w:p w14:paraId="27EF0ABC" w14:textId="77777777" w:rsidR="00CF46C9" w:rsidRPr="00A172CC" w:rsidRDefault="00CF46C9" w:rsidP="00322417">
            <w:r w:rsidRPr="00A172CC">
              <w:t>%</w:t>
            </w:r>
          </w:p>
        </w:tc>
        <w:tc>
          <w:tcPr>
            <w:tcW w:w="279" w:type="pct"/>
            <w:vAlign w:val="center"/>
          </w:tcPr>
          <w:p w14:paraId="187B8FA3" w14:textId="77777777" w:rsidR="00CF46C9" w:rsidRPr="00A172CC" w:rsidRDefault="00CF46C9" w:rsidP="00322417">
            <w:r w:rsidRPr="00A172CC">
              <w:t>No</w:t>
            </w:r>
          </w:p>
        </w:tc>
        <w:tc>
          <w:tcPr>
            <w:tcW w:w="279" w:type="pct"/>
            <w:vAlign w:val="center"/>
          </w:tcPr>
          <w:p w14:paraId="574222AD" w14:textId="77777777" w:rsidR="00CF46C9" w:rsidRPr="00A172CC" w:rsidRDefault="00CF46C9" w:rsidP="00322417">
            <w:r w:rsidRPr="00A172CC">
              <w:t>%</w:t>
            </w:r>
          </w:p>
        </w:tc>
        <w:tc>
          <w:tcPr>
            <w:tcW w:w="279" w:type="pct"/>
            <w:vAlign w:val="center"/>
          </w:tcPr>
          <w:p w14:paraId="1F39251C" w14:textId="77777777" w:rsidR="00CF46C9" w:rsidRPr="00A172CC" w:rsidRDefault="00CF46C9" w:rsidP="00322417">
            <w:r w:rsidRPr="00A172CC">
              <w:t>No</w:t>
            </w:r>
          </w:p>
        </w:tc>
        <w:tc>
          <w:tcPr>
            <w:tcW w:w="258" w:type="pct"/>
            <w:vAlign w:val="center"/>
          </w:tcPr>
          <w:p w14:paraId="6E5169FA" w14:textId="77777777" w:rsidR="00CF46C9" w:rsidRPr="00A172CC" w:rsidRDefault="00CF46C9" w:rsidP="00322417">
            <w:r w:rsidRPr="00A172CC">
              <w:t>%</w:t>
            </w:r>
          </w:p>
        </w:tc>
      </w:tr>
      <w:tr w:rsidR="00CF46C9" w:rsidRPr="00A172CC" w14:paraId="42BD54F9" w14:textId="77777777" w:rsidTr="00CF46C9">
        <w:trPr>
          <w:trHeight w:hRule="exact" w:val="395"/>
        </w:trPr>
        <w:tc>
          <w:tcPr>
            <w:tcW w:w="534" w:type="pct"/>
            <w:vAlign w:val="center"/>
          </w:tcPr>
          <w:p w14:paraId="5F53064E" w14:textId="77777777" w:rsidR="00CF46C9" w:rsidRPr="00A172CC" w:rsidRDefault="00CF46C9" w:rsidP="00322417">
            <w:r w:rsidRPr="00A172CC">
              <w:t>I</w:t>
            </w:r>
          </w:p>
        </w:tc>
        <w:tc>
          <w:tcPr>
            <w:tcW w:w="284" w:type="pct"/>
          </w:tcPr>
          <w:p w14:paraId="520E10E2" w14:textId="0411ED09" w:rsidR="00CF46C9" w:rsidRPr="00A172CC" w:rsidRDefault="004D7B9B" w:rsidP="00322417">
            <w:r>
              <w:t>5</w:t>
            </w:r>
          </w:p>
        </w:tc>
        <w:tc>
          <w:tcPr>
            <w:tcW w:w="284" w:type="pct"/>
          </w:tcPr>
          <w:p w14:paraId="00AA91FD" w14:textId="725CAE00" w:rsidR="00CF46C9" w:rsidRPr="00A172CC" w:rsidRDefault="004D7B9B" w:rsidP="00322417">
            <w:r>
              <w:t>55</w:t>
            </w:r>
          </w:p>
        </w:tc>
        <w:tc>
          <w:tcPr>
            <w:tcW w:w="284" w:type="pct"/>
          </w:tcPr>
          <w:p w14:paraId="2AAF3FE6" w14:textId="3EBF11D1" w:rsidR="00CF46C9" w:rsidRPr="00A172CC" w:rsidRDefault="004D7B9B" w:rsidP="00322417">
            <w:r>
              <w:t>7</w:t>
            </w:r>
          </w:p>
        </w:tc>
        <w:tc>
          <w:tcPr>
            <w:tcW w:w="284" w:type="pct"/>
          </w:tcPr>
          <w:p w14:paraId="01A8C4E7" w14:textId="4AF74196" w:rsidR="00CF46C9" w:rsidRPr="00A172CC" w:rsidRDefault="004D7B9B" w:rsidP="00322417">
            <w:r>
              <w:t>44</w:t>
            </w:r>
          </w:p>
        </w:tc>
        <w:tc>
          <w:tcPr>
            <w:tcW w:w="279" w:type="pct"/>
            <w:vAlign w:val="center"/>
          </w:tcPr>
          <w:p w14:paraId="0F25C930" w14:textId="4C15F6C5" w:rsidR="00CF46C9" w:rsidRPr="00A172CC" w:rsidRDefault="00CF46C9" w:rsidP="00322417">
            <w:r w:rsidRPr="00A172CC">
              <w:t>1</w:t>
            </w:r>
          </w:p>
        </w:tc>
        <w:tc>
          <w:tcPr>
            <w:tcW w:w="281" w:type="pct"/>
            <w:vAlign w:val="center"/>
          </w:tcPr>
          <w:p w14:paraId="37A3EAAA" w14:textId="77777777" w:rsidR="00CF46C9" w:rsidRPr="00A172CC" w:rsidRDefault="00CF46C9" w:rsidP="00322417">
            <w:r w:rsidRPr="00A172CC">
              <w:t>8</w:t>
            </w:r>
          </w:p>
        </w:tc>
        <w:tc>
          <w:tcPr>
            <w:tcW w:w="279" w:type="pct"/>
            <w:vAlign w:val="center"/>
          </w:tcPr>
          <w:p w14:paraId="266E4663" w14:textId="77777777" w:rsidR="00CF46C9" w:rsidRPr="00A172CC" w:rsidRDefault="00CF46C9" w:rsidP="00322417">
            <w:r w:rsidRPr="00A172CC">
              <w:t>1</w:t>
            </w:r>
          </w:p>
        </w:tc>
        <w:tc>
          <w:tcPr>
            <w:tcW w:w="280" w:type="pct"/>
            <w:vAlign w:val="center"/>
          </w:tcPr>
          <w:p w14:paraId="6F8F1A81" w14:textId="77777777" w:rsidR="00CF46C9" w:rsidRPr="00A172CC" w:rsidRDefault="00CF46C9" w:rsidP="00322417">
            <w:r w:rsidRPr="00A172CC">
              <w:t>6</w:t>
            </w:r>
          </w:p>
        </w:tc>
        <w:tc>
          <w:tcPr>
            <w:tcW w:w="279" w:type="pct"/>
            <w:vAlign w:val="center"/>
          </w:tcPr>
          <w:p w14:paraId="5FF8BF32" w14:textId="77777777" w:rsidR="00CF46C9" w:rsidRPr="00A172CC" w:rsidRDefault="00CF46C9" w:rsidP="00322417">
            <w:r w:rsidRPr="00A172CC">
              <w:t>4</w:t>
            </w:r>
          </w:p>
        </w:tc>
        <w:tc>
          <w:tcPr>
            <w:tcW w:w="279" w:type="pct"/>
            <w:vAlign w:val="center"/>
          </w:tcPr>
          <w:p w14:paraId="64CBD693" w14:textId="77777777" w:rsidR="00CF46C9" w:rsidRPr="00A172CC" w:rsidRDefault="00CF46C9" w:rsidP="00322417">
            <w:r w:rsidRPr="00A172CC">
              <w:t>33</w:t>
            </w:r>
          </w:p>
        </w:tc>
        <w:tc>
          <w:tcPr>
            <w:tcW w:w="279" w:type="pct"/>
            <w:vAlign w:val="center"/>
          </w:tcPr>
          <w:p w14:paraId="7AF3B771" w14:textId="77777777" w:rsidR="00CF46C9" w:rsidRPr="00A172CC" w:rsidRDefault="00CF46C9" w:rsidP="00322417">
            <w:r w:rsidRPr="00A172CC">
              <w:t>6</w:t>
            </w:r>
          </w:p>
        </w:tc>
        <w:tc>
          <w:tcPr>
            <w:tcW w:w="279" w:type="pct"/>
            <w:vAlign w:val="center"/>
          </w:tcPr>
          <w:p w14:paraId="72D1556C" w14:textId="77777777" w:rsidR="00CF46C9" w:rsidRPr="00A172CC" w:rsidRDefault="00CF46C9" w:rsidP="00322417">
            <w:r w:rsidRPr="00A172CC">
              <w:t>29</w:t>
            </w:r>
          </w:p>
        </w:tc>
        <w:tc>
          <w:tcPr>
            <w:tcW w:w="279" w:type="pct"/>
            <w:vAlign w:val="center"/>
          </w:tcPr>
          <w:p w14:paraId="63C6F550" w14:textId="77777777" w:rsidR="00CF46C9" w:rsidRPr="00A172CC" w:rsidRDefault="00CF46C9" w:rsidP="00322417">
            <w:r w:rsidRPr="00A172CC">
              <w:t>6</w:t>
            </w:r>
          </w:p>
        </w:tc>
        <w:tc>
          <w:tcPr>
            <w:tcW w:w="279" w:type="pct"/>
            <w:vAlign w:val="center"/>
          </w:tcPr>
          <w:p w14:paraId="62BDD940" w14:textId="77777777" w:rsidR="00CF46C9" w:rsidRPr="00A172CC" w:rsidRDefault="00CF46C9" w:rsidP="00322417">
            <w:r w:rsidRPr="00A172CC">
              <w:t>35</w:t>
            </w:r>
          </w:p>
        </w:tc>
        <w:tc>
          <w:tcPr>
            <w:tcW w:w="279" w:type="pct"/>
            <w:vAlign w:val="center"/>
          </w:tcPr>
          <w:p w14:paraId="28444844" w14:textId="77777777" w:rsidR="00CF46C9" w:rsidRPr="00A172CC" w:rsidRDefault="00CF46C9" w:rsidP="00322417">
            <w:r w:rsidRPr="00A172CC">
              <w:t>5</w:t>
            </w:r>
          </w:p>
        </w:tc>
        <w:tc>
          <w:tcPr>
            <w:tcW w:w="258" w:type="pct"/>
            <w:vAlign w:val="center"/>
          </w:tcPr>
          <w:p w14:paraId="5E950E46" w14:textId="77777777" w:rsidR="00CF46C9" w:rsidRPr="00A172CC" w:rsidRDefault="00CF46C9" w:rsidP="00322417">
            <w:r w:rsidRPr="00A172CC">
              <w:t>28</w:t>
            </w:r>
          </w:p>
        </w:tc>
      </w:tr>
      <w:tr w:rsidR="00CF46C9" w:rsidRPr="00A172CC" w14:paraId="79A5338D" w14:textId="77777777" w:rsidTr="00CF46C9">
        <w:trPr>
          <w:trHeight w:hRule="exact" w:val="395"/>
        </w:trPr>
        <w:tc>
          <w:tcPr>
            <w:tcW w:w="534" w:type="pct"/>
            <w:vAlign w:val="center"/>
          </w:tcPr>
          <w:p w14:paraId="74719D36" w14:textId="77777777" w:rsidR="00CF46C9" w:rsidRPr="00A172CC" w:rsidRDefault="00CF46C9" w:rsidP="00322417">
            <w:r w:rsidRPr="00A172CC">
              <w:t>II.I</w:t>
            </w:r>
          </w:p>
        </w:tc>
        <w:tc>
          <w:tcPr>
            <w:tcW w:w="284" w:type="pct"/>
          </w:tcPr>
          <w:p w14:paraId="3FC5947C" w14:textId="431B4476" w:rsidR="00CF46C9" w:rsidRPr="00A172CC" w:rsidRDefault="004D7B9B" w:rsidP="00322417">
            <w:r>
              <w:t>4</w:t>
            </w:r>
          </w:p>
        </w:tc>
        <w:tc>
          <w:tcPr>
            <w:tcW w:w="284" w:type="pct"/>
          </w:tcPr>
          <w:p w14:paraId="19DE397B" w14:textId="667B3576" w:rsidR="00CF46C9" w:rsidRPr="00A172CC" w:rsidRDefault="004D7B9B" w:rsidP="00322417">
            <w:r>
              <w:t>45</w:t>
            </w:r>
          </w:p>
        </w:tc>
        <w:tc>
          <w:tcPr>
            <w:tcW w:w="284" w:type="pct"/>
          </w:tcPr>
          <w:p w14:paraId="7D4FF4C1" w14:textId="081E2BED" w:rsidR="00CF46C9" w:rsidRPr="00A172CC" w:rsidRDefault="004D7B9B" w:rsidP="00322417">
            <w:r>
              <w:t>9</w:t>
            </w:r>
          </w:p>
        </w:tc>
        <w:tc>
          <w:tcPr>
            <w:tcW w:w="284" w:type="pct"/>
          </w:tcPr>
          <w:p w14:paraId="2340689A" w14:textId="55B270C0" w:rsidR="00CF46C9" w:rsidRPr="00A172CC" w:rsidRDefault="004D7B9B" w:rsidP="00322417">
            <w:r>
              <w:t>56</w:t>
            </w:r>
          </w:p>
        </w:tc>
        <w:tc>
          <w:tcPr>
            <w:tcW w:w="279" w:type="pct"/>
            <w:vAlign w:val="center"/>
          </w:tcPr>
          <w:p w14:paraId="45A908C4" w14:textId="42968385" w:rsidR="00CF46C9" w:rsidRPr="00A172CC" w:rsidRDefault="00CF46C9" w:rsidP="00322417">
            <w:r w:rsidRPr="00A172CC">
              <w:t>12</w:t>
            </w:r>
          </w:p>
        </w:tc>
        <w:tc>
          <w:tcPr>
            <w:tcW w:w="281" w:type="pct"/>
            <w:vAlign w:val="center"/>
          </w:tcPr>
          <w:p w14:paraId="00C233A1" w14:textId="77777777" w:rsidR="00CF46C9" w:rsidRPr="00A172CC" w:rsidRDefault="00CF46C9" w:rsidP="00322417">
            <w:r w:rsidRPr="00A172CC">
              <w:t>92</w:t>
            </w:r>
          </w:p>
        </w:tc>
        <w:tc>
          <w:tcPr>
            <w:tcW w:w="279" w:type="pct"/>
            <w:vAlign w:val="center"/>
          </w:tcPr>
          <w:p w14:paraId="35435499" w14:textId="77777777" w:rsidR="00CF46C9" w:rsidRPr="00A172CC" w:rsidRDefault="00CF46C9" w:rsidP="00322417">
            <w:r w:rsidRPr="00A172CC">
              <w:t>16</w:t>
            </w:r>
          </w:p>
        </w:tc>
        <w:tc>
          <w:tcPr>
            <w:tcW w:w="280" w:type="pct"/>
            <w:vAlign w:val="center"/>
          </w:tcPr>
          <w:p w14:paraId="73113265" w14:textId="77777777" w:rsidR="00CF46C9" w:rsidRPr="00A172CC" w:rsidRDefault="00CF46C9" w:rsidP="00322417">
            <w:r w:rsidRPr="00A172CC">
              <w:t>94</w:t>
            </w:r>
          </w:p>
        </w:tc>
        <w:tc>
          <w:tcPr>
            <w:tcW w:w="279" w:type="pct"/>
            <w:vAlign w:val="center"/>
          </w:tcPr>
          <w:p w14:paraId="75C73699" w14:textId="77777777" w:rsidR="00CF46C9" w:rsidRPr="00A172CC" w:rsidRDefault="00CF46C9" w:rsidP="00322417">
            <w:r w:rsidRPr="00A172CC">
              <w:t>8</w:t>
            </w:r>
          </w:p>
        </w:tc>
        <w:tc>
          <w:tcPr>
            <w:tcW w:w="279" w:type="pct"/>
            <w:vAlign w:val="center"/>
          </w:tcPr>
          <w:p w14:paraId="7686955F" w14:textId="77777777" w:rsidR="00CF46C9" w:rsidRPr="00A172CC" w:rsidRDefault="00CF46C9" w:rsidP="00322417">
            <w:r w:rsidRPr="00A172CC">
              <w:t>67</w:t>
            </w:r>
          </w:p>
        </w:tc>
        <w:tc>
          <w:tcPr>
            <w:tcW w:w="279" w:type="pct"/>
            <w:vAlign w:val="center"/>
          </w:tcPr>
          <w:p w14:paraId="241D5F37" w14:textId="77777777" w:rsidR="00CF46C9" w:rsidRPr="00A172CC" w:rsidRDefault="00CF46C9" w:rsidP="00322417">
            <w:r w:rsidRPr="00A172CC">
              <w:t>15</w:t>
            </w:r>
          </w:p>
        </w:tc>
        <w:tc>
          <w:tcPr>
            <w:tcW w:w="279" w:type="pct"/>
            <w:vAlign w:val="center"/>
          </w:tcPr>
          <w:p w14:paraId="15DA84A5" w14:textId="77777777" w:rsidR="00CF46C9" w:rsidRPr="00A172CC" w:rsidRDefault="00CF46C9" w:rsidP="00322417">
            <w:r w:rsidRPr="00A172CC">
              <w:t>71</w:t>
            </w:r>
          </w:p>
        </w:tc>
        <w:tc>
          <w:tcPr>
            <w:tcW w:w="279" w:type="pct"/>
            <w:vAlign w:val="center"/>
          </w:tcPr>
          <w:p w14:paraId="7B1F623D" w14:textId="77777777" w:rsidR="00CF46C9" w:rsidRPr="00A172CC" w:rsidRDefault="00CF46C9" w:rsidP="00322417">
            <w:r w:rsidRPr="00A172CC">
              <w:t>11</w:t>
            </w:r>
          </w:p>
        </w:tc>
        <w:tc>
          <w:tcPr>
            <w:tcW w:w="279" w:type="pct"/>
            <w:vAlign w:val="center"/>
          </w:tcPr>
          <w:p w14:paraId="7E08B61E" w14:textId="77777777" w:rsidR="00CF46C9" w:rsidRPr="00A172CC" w:rsidRDefault="00CF46C9" w:rsidP="00322417">
            <w:r w:rsidRPr="00A172CC">
              <w:t>65</w:t>
            </w:r>
          </w:p>
        </w:tc>
        <w:tc>
          <w:tcPr>
            <w:tcW w:w="279" w:type="pct"/>
            <w:vAlign w:val="center"/>
          </w:tcPr>
          <w:p w14:paraId="2F3F95C2" w14:textId="77777777" w:rsidR="00CF46C9" w:rsidRPr="00A172CC" w:rsidRDefault="00CF46C9" w:rsidP="00322417">
            <w:r w:rsidRPr="00A172CC">
              <w:t>12</w:t>
            </w:r>
          </w:p>
        </w:tc>
        <w:tc>
          <w:tcPr>
            <w:tcW w:w="258" w:type="pct"/>
            <w:vAlign w:val="center"/>
          </w:tcPr>
          <w:p w14:paraId="35610CDE" w14:textId="77777777" w:rsidR="00CF46C9" w:rsidRPr="00A172CC" w:rsidRDefault="00CF46C9" w:rsidP="00322417">
            <w:r w:rsidRPr="00A172CC">
              <w:t>67</w:t>
            </w:r>
          </w:p>
        </w:tc>
      </w:tr>
      <w:tr w:rsidR="00CF46C9" w:rsidRPr="00A172CC" w14:paraId="2AEE6FF4" w14:textId="77777777" w:rsidTr="00CF46C9">
        <w:trPr>
          <w:trHeight w:hRule="exact" w:val="395"/>
        </w:trPr>
        <w:tc>
          <w:tcPr>
            <w:tcW w:w="534" w:type="pct"/>
            <w:vAlign w:val="center"/>
          </w:tcPr>
          <w:p w14:paraId="51B7A43A" w14:textId="77777777" w:rsidR="00CF46C9" w:rsidRPr="00A172CC" w:rsidRDefault="00CF46C9" w:rsidP="00322417">
            <w:r w:rsidRPr="00A172CC">
              <w:t>II.II</w:t>
            </w:r>
          </w:p>
        </w:tc>
        <w:tc>
          <w:tcPr>
            <w:tcW w:w="284" w:type="pct"/>
          </w:tcPr>
          <w:p w14:paraId="2EAF16D4" w14:textId="77777777" w:rsidR="00CF46C9" w:rsidRPr="00A172CC" w:rsidRDefault="00CF46C9" w:rsidP="00322417"/>
        </w:tc>
        <w:tc>
          <w:tcPr>
            <w:tcW w:w="284" w:type="pct"/>
          </w:tcPr>
          <w:p w14:paraId="0E0B81F5" w14:textId="77777777" w:rsidR="00CF46C9" w:rsidRPr="00A172CC" w:rsidRDefault="00CF46C9" w:rsidP="00322417"/>
        </w:tc>
        <w:tc>
          <w:tcPr>
            <w:tcW w:w="284" w:type="pct"/>
          </w:tcPr>
          <w:p w14:paraId="6A855DA8" w14:textId="77777777" w:rsidR="00CF46C9" w:rsidRPr="00A172CC" w:rsidRDefault="00CF46C9" w:rsidP="00322417"/>
        </w:tc>
        <w:tc>
          <w:tcPr>
            <w:tcW w:w="284" w:type="pct"/>
          </w:tcPr>
          <w:p w14:paraId="18D7B5B8" w14:textId="5082381A" w:rsidR="00CF46C9" w:rsidRPr="00A172CC" w:rsidRDefault="00CF46C9" w:rsidP="00322417"/>
        </w:tc>
        <w:tc>
          <w:tcPr>
            <w:tcW w:w="279" w:type="pct"/>
            <w:vAlign w:val="center"/>
          </w:tcPr>
          <w:p w14:paraId="0D243697" w14:textId="78F98E5E" w:rsidR="00CF46C9" w:rsidRPr="00A172CC" w:rsidRDefault="00CF46C9" w:rsidP="00322417"/>
        </w:tc>
        <w:tc>
          <w:tcPr>
            <w:tcW w:w="281" w:type="pct"/>
            <w:vAlign w:val="center"/>
          </w:tcPr>
          <w:p w14:paraId="414EF973" w14:textId="77777777" w:rsidR="00CF46C9" w:rsidRPr="00A172CC" w:rsidRDefault="00CF46C9" w:rsidP="00322417"/>
        </w:tc>
        <w:tc>
          <w:tcPr>
            <w:tcW w:w="279" w:type="pct"/>
            <w:vAlign w:val="center"/>
          </w:tcPr>
          <w:p w14:paraId="0DC48C45" w14:textId="77777777" w:rsidR="00CF46C9" w:rsidRPr="00A172CC" w:rsidRDefault="00CF46C9" w:rsidP="00322417"/>
        </w:tc>
        <w:tc>
          <w:tcPr>
            <w:tcW w:w="280" w:type="pct"/>
            <w:vAlign w:val="center"/>
          </w:tcPr>
          <w:p w14:paraId="4845DE3A" w14:textId="77777777" w:rsidR="00CF46C9" w:rsidRPr="00A172CC" w:rsidRDefault="00CF46C9" w:rsidP="00322417"/>
        </w:tc>
        <w:tc>
          <w:tcPr>
            <w:tcW w:w="279" w:type="pct"/>
            <w:vAlign w:val="center"/>
          </w:tcPr>
          <w:p w14:paraId="3B6B2286" w14:textId="77777777" w:rsidR="00CF46C9" w:rsidRPr="00A172CC" w:rsidRDefault="00CF46C9" w:rsidP="00322417"/>
        </w:tc>
        <w:tc>
          <w:tcPr>
            <w:tcW w:w="279" w:type="pct"/>
            <w:vAlign w:val="center"/>
          </w:tcPr>
          <w:p w14:paraId="18184526" w14:textId="77777777" w:rsidR="00CF46C9" w:rsidRPr="00A172CC" w:rsidRDefault="00CF46C9" w:rsidP="00322417"/>
        </w:tc>
        <w:tc>
          <w:tcPr>
            <w:tcW w:w="279" w:type="pct"/>
            <w:vAlign w:val="center"/>
          </w:tcPr>
          <w:p w14:paraId="76218DCE" w14:textId="77777777" w:rsidR="00CF46C9" w:rsidRPr="00A172CC" w:rsidRDefault="00CF46C9" w:rsidP="00322417"/>
        </w:tc>
        <w:tc>
          <w:tcPr>
            <w:tcW w:w="279" w:type="pct"/>
            <w:vAlign w:val="center"/>
          </w:tcPr>
          <w:p w14:paraId="004A1139" w14:textId="77777777" w:rsidR="00CF46C9" w:rsidRPr="00A172CC" w:rsidRDefault="00CF46C9" w:rsidP="00322417"/>
        </w:tc>
        <w:tc>
          <w:tcPr>
            <w:tcW w:w="279" w:type="pct"/>
            <w:vAlign w:val="center"/>
          </w:tcPr>
          <w:p w14:paraId="34837513" w14:textId="77777777" w:rsidR="00CF46C9" w:rsidRPr="00A172CC" w:rsidRDefault="00CF46C9" w:rsidP="00322417"/>
        </w:tc>
        <w:tc>
          <w:tcPr>
            <w:tcW w:w="279" w:type="pct"/>
            <w:vAlign w:val="center"/>
          </w:tcPr>
          <w:p w14:paraId="322F2AAD" w14:textId="77777777" w:rsidR="00CF46C9" w:rsidRPr="00A172CC" w:rsidRDefault="00CF46C9" w:rsidP="00322417"/>
        </w:tc>
        <w:tc>
          <w:tcPr>
            <w:tcW w:w="279" w:type="pct"/>
            <w:vAlign w:val="center"/>
          </w:tcPr>
          <w:p w14:paraId="56850FBB" w14:textId="77777777" w:rsidR="00CF46C9" w:rsidRPr="00A172CC" w:rsidRDefault="00CF46C9" w:rsidP="00322417">
            <w:r w:rsidRPr="00A172CC">
              <w:t>1</w:t>
            </w:r>
          </w:p>
        </w:tc>
        <w:tc>
          <w:tcPr>
            <w:tcW w:w="258" w:type="pct"/>
            <w:vAlign w:val="center"/>
          </w:tcPr>
          <w:p w14:paraId="49B94D74" w14:textId="77777777" w:rsidR="00CF46C9" w:rsidRPr="00A172CC" w:rsidRDefault="00CF46C9" w:rsidP="00322417">
            <w:r w:rsidRPr="00A172CC">
              <w:t>5</w:t>
            </w:r>
          </w:p>
        </w:tc>
      </w:tr>
      <w:tr w:rsidR="00CF46C9" w:rsidRPr="00A172CC" w14:paraId="6345C232" w14:textId="77777777" w:rsidTr="00CF46C9">
        <w:trPr>
          <w:trHeight w:hRule="exact" w:val="395"/>
        </w:trPr>
        <w:tc>
          <w:tcPr>
            <w:tcW w:w="534" w:type="pct"/>
            <w:vAlign w:val="center"/>
          </w:tcPr>
          <w:p w14:paraId="1849B29E" w14:textId="77777777" w:rsidR="00CF46C9" w:rsidRPr="00A172CC" w:rsidRDefault="00CF46C9" w:rsidP="00322417">
            <w:r w:rsidRPr="00A172CC">
              <w:t>III</w:t>
            </w:r>
          </w:p>
        </w:tc>
        <w:tc>
          <w:tcPr>
            <w:tcW w:w="284" w:type="pct"/>
          </w:tcPr>
          <w:p w14:paraId="53D020FA" w14:textId="77777777" w:rsidR="00CF46C9" w:rsidRPr="00A172CC" w:rsidRDefault="00CF46C9" w:rsidP="00322417"/>
        </w:tc>
        <w:tc>
          <w:tcPr>
            <w:tcW w:w="284" w:type="pct"/>
          </w:tcPr>
          <w:p w14:paraId="728DF0BB" w14:textId="77777777" w:rsidR="00CF46C9" w:rsidRPr="00A172CC" w:rsidRDefault="00CF46C9" w:rsidP="00322417"/>
        </w:tc>
        <w:tc>
          <w:tcPr>
            <w:tcW w:w="284" w:type="pct"/>
          </w:tcPr>
          <w:p w14:paraId="4A5934F0" w14:textId="77777777" w:rsidR="00CF46C9" w:rsidRPr="00A172CC" w:rsidRDefault="00CF46C9" w:rsidP="00322417"/>
        </w:tc>
        <w:tc>
          <w:tcPr>
            <w:tcW w:w="284" w:type="pct"/>
          </w:tcPr>
          <w:p w14:paraId="42F105DF" w14:textId="6214D22E" w:rsidR="00CF46C9" w:rsidRPr="00A172CC" w:rsidRDefault="00CF46C9" w:rsidP="00322417"/>
        </w:tc>
        <w:tc>
          <w:tcPr>
            <w:tcW w:w="279" w:type="pct"/>
            <w:vAlign w:val="center"/>
          </w:tcPr>
          <w:p w14:paraId="5E561C1B" w14:textId="26631A34" w:rsidR="00CF46C9" w:rsidRPr="00A172CC" w:rsidRDefault="00CF46C9" w:rsidP="00322417"/>
        </w:tc>
        <w:tc>
          <w:tcPr>
            <w:tcW w:w="281" w:type="pct"/>
            <w:vAlign w:val="center"/>
          </w:tcPr>
          <w:p w14:paraId="2881274E" w14:textId="77777777" w:rsidR="00CF46C9" w:rsidRPr="00A172CC" w:rsidRDefault="00CF46C9" w:rsidP="00322417"/>
        </w:tc>
        <w:tc>
          <w:tcPr>
            <w:tcW w:w="279" w:type="pct"/>
            <w:vAlign w:val="center"/>
          </w:tcPr>
          <w:p w14:paraId="7DCD9999" w14:textId="77777777" w:rsidR="00CF46C9" w:rsidRPr="00A172CC" w:rsidRDefault="00CF46C9" w:rsidP="00322417"/>
        </w:tc>
        <w:tc>
          <w:tcPr>
            <w:tcW w:w="280" w:type="pct"/>
            <w:vAlign w:val="center"/>
          </w:tcPr>
          <w:p w14:paraId="538A809C" w14:textId="77777777" w:rsidR="00CF46C9" w:rsidRPr="00A172CC" w:rsidRDefault="00CF46C9" w:rsidP="00322417"/>
        </w:tc>
        <w:tc>
          <w:tcPr>
            <w:tcW w:w="279" w:type="pct"/>
            <w:vAlign w:val="center"/>
          </w:tcPr>
          <w:p w14:paraId="0374CE98" w14:textId="77777777" w:rsidR="00CF46C9" w:rsidRPr="00A172CC" w:rsidRDefault="00CF46C9" w:rsidP="00322417"/>
        </w:tc>
        <w:tc>
          <w:tcPr>
            <w:tcW w:w="279" w:type="pct"/>
            <w:vAlign w:val="center"/>
          </w:tcPr>
          <w:p w14:paraId="3326629A" w14:textId="77777777" w:rsidR="00CF46C9" w:rsidRPr="00A172CC" w:rsidRDefault="00CF46C9" w:rsidP="00322417"/>
        </w:tc>
        <w:tc>
          <w:tcPr>
            <w:tcW w:w="279" w:type="pct"/>
            <w:vAlign w:val="center"/>
          </w:tcPr>
          <w:p w14:paraId="62A18F6D" w14:textId="77777777" w:rsidR="00CF46C9" w:rsidRPr="00A172CC" w:rsidRDefault="00CF46C9" w:rsidP="00322417"/>
        </w:tc>
        <w:tc>
          <w:tcPr>
            <w:tcW w:w="279" w:type="pct"/>
            <w:vAlign w:val="center"/>
          </w:tcPr>
          <w:p w14:paraId="6B082E7F" w14:textId="77777777" w:rsidR="00CF46C9" w:rsidRPr="00A172CC" w:rsidRDefault="00CF46C9" w:rsidP="00322417"/>
        </w:tc>
        <w:tc>
          <w:tcPr>
            <w:tcW w:w="279" w:type="pct"/>
            <w:vAlign w:val="center"/>
          </w:tcPr>
          <w:p w14:paraId="33ECBF8A" w14:textId="77777777" w:rsidR="00CF46C9" w:rsidRPr="00A172CC" w:rsidRDefault="00CF46C9" w:rsidP="00322417"/>
        </w:tc>
        <w:tc>
          <w:tcPr>
            <w:tcW w:w="279" w:type="pct"/>
            <w:vAlign w:val="center"/>
          </w:tcPr>
          <w:p w14:paraId="1C7CDF49" w14:textId="77777777" w:rsidR="00CF46C9" w:rsidRPr="00A172CC" w:rsidRDefault="00CF46C9" w:rsidP="00322417"/>
        </w:tc>
        <w:tc>
          <w:tcPr>
            <w:tcW w:w="279" w:type="pct"/>
            <w:vAlign w:val="center"/>
          </w:tcPr>
          <w:p w14:paraId="7D8EB84D" w14:textId="77777777" w:rsidR="00CF46C9" w:rsidRPr="00A172CC" w:rsidRDefault="00CF46C9" w:rsidP="00322417"/>
        </w:tc>
        <w:tc>
          <w:tcPr>
            <w:tcW w:w="258" w:type="pct"/>
            <w:vAlign w:val="center"/>
          </w:tcPr>
          <w:p w14:paraId="6741586F" w14:textId="77777777" w:rsidR="00CF46C9" w:rsidRPr="00A172CC" w:rsidRDefault="00CF46C9" w:rsidP="00322417"/>
        </w:tc>
      </w:tr>
      <w:tr w:rsidR="00CF46C9" w:rsidRPr="00A172CC" w14:paraId="0A2AA17C" w14:textId="77777777" w:rsidTr="00CF46C9">
        <w:trPr>
          <w:trHeight w:hRule="exact" w:val="395"/>
        </w:trPr>
        <w:tc>
          <w:tcPr>
            <w:tcW w:w="534" w:type="pct"/>
            <w:vAlign w:val="center"/>
          </w:tcPr>
          <w:p w14:paraId="0637DD8C" w14:textId="77777777" w:rsidR="00CF46C9" w:rsidRPr="00A172CC" w:rsidRDefault="00CF46C9" w:rsidP="00322417">
            <w:r w:rsidRPr="00A172CC">
              <w:t>Pass</w:t>
            </w:r>
          </w:p>
        </w:tc>
        <w:tc>
          <w:tcPr>
            <w:tcW w:w="284" w:type="pct"/>
          </w:tcPr>
          <w:p w14:paraId="05CF022D" w14:textId="77777777" w:rsidR="00CF46C9" w:rsidRPr="00A172CC" w:rsidRDefault="00CF46C9" w:rsidP="00322417"/>
        </w:tc>
        <w:tc>
          <w:tcPr>
            <w:tcW w:w="284" w:type="pct"/>
          </w:tcPr>
          <w:p w14:paraId="71933C88" w14:textId="77777777" w:rsidR="00CF46C9" w:rsidRPr="00A172CC" w:rsidRDefault="00CF46C9" w:rsidP="00322417"/>
        </w:tc>
        <w:tc>
          <w:tcPr>
            <w:tcW w:w="284" w:type="pct"/>
          </w:tcPr>
          <w:p w14:paraId="3886127C" w14:textId="77777777" w:rsidR="00CF46C9" w:rsidRPr="00A172CC" w:rsidRDefault="00CF46C9" w:rsidP="00322417"/>
        </w:tc>
        <w:tc>
          <w:tcPr>
            <w:tcW w:w="284" w:type="pct"/>
          </w:tcPr>
          <w:p w14:paraId="1389634D" w14:textId="64BB7045" w:rsidR="00CF46C9" w:rsidRPr="00A172CC" w:rsidRDefault="00CF46C9" w:rsidP="00322417"/>
        </w:tc>
        <w:tc>
          <w:tcPr>
            <w:tcW w:w="279" w:type="pct"/>
            <w:vAlign w:val="center"/>
          </w:tcPr>
          <w:p w14:paraId="283AEE1F" w14:textId="337B12B4" w:rsidR="00CF46C9" w:rsidRPr="00A172CC" w:rsidRDefault="00CF46C9" w:rsidP="00322417"/>
        </w:tc>
        <w:tc>
          <w:tcPr>
            <w:tcW w:w="281" w:type="pct"/>
            <w:vAlign w:val="center"/>
          </w:tcPr>
          <w:p w14:paraId="77CDDFD1" w14:textId="77777777" w:rsidR="00CF46C9" w:rsidRPr="00A172CC" w:rsidRDefault="00CF46C9" w:rsidP="00322417"/>
        </w:tc>
        <w:tc>
          <w:tcPr>
            <w:tcW w:w="279" w:type="pct"/>
            <w:vAlign w:val="center"/>
          </w:tcPr>
          <w:p w14:paraId="30105CD9" w14:textId="77777777" w:rsidR="00CF46C9" w:rsidRPr="00A172CC" w:rsidRDefault="00CF46C9" w:rsidP="00322417"/>
        </w:tc>
        <w:tc>
          <w:tcPr>
            <w:tcW w:w="280" w:type="pct"/>
            <w:vAlign w:val="center"/>
          </w:tcPr>
          <w:p w14:paraId="7EC6B77C" w14:textId="77777777" w:rsidR="00CF46C9" w:rsidRPr="00A172CC" w:rsidRDefault="00CF46C9" w:rsidP="00322417"/>
        </w:tc>
        <w:tc>
          <w:tcPr>
            <w:tcW w:w="279" w:type="pct"/>
            <w:vAlign w:val="center"/>
          </w:tcPr>
          <w:p w14:paraId="287A1B44" w14:textId="77777777" w:rsidR="00CF46C9" w:rsidRPr="00A172CC" w:rsidRDefault="00CF46C9" w:rsidP="00322417"/>
        </w:tc>
        <w:tc>
          <w:tcPr>
            <w:tcW w:w="279" w:type="pct"/>
            <w:vAlign w:val="center"/>
          </w:tcPr>
          <w:p w14:paraId="6F74C60F" w14:textId="77777777" w:rsidR="00CF46C9" w:rsidRPr="00A172CC" w:rsidRDefault="00CF46C9" w:rsidP="00322417"/>
        </w:tc>
        <w:tc>
          <w:tcPr>
            <w:tcW w:w="279" w:type="pct"/>
            <w:vAlign w:val="center"/>
          </w:tcPr>
          <w:p w14:paraId="6DDF1CCA" w14:textId="77777777" w:rsidR="00CF46C9" w:rsidRPr="00A172CC" w:rsidRDefault="00CF46C9" w:rsidP="00322417"/>
        </w:tc>
        <w:tc>
          <w:tcPr>
            <w:tcW w:w="279" w:type="pct"/>
            <w:vAlign w:val="center"/>
          </w:tcPr>
          <w:p w14:paraId="23606E97" w14:textId="77777777" w:rsidR="00CF46C9" w:rsidRPr="00A172CC" w:rsidRDefault="00CF46C9" w:rsidP="00322417"/>
        </w:tc>
        <w:tc>
          <w:tcPr>
            <w:tcW w:w="279" w:type="pct"/>
            <w:vAlign w:val="center"/>
          </w:tcPr>
          <w:p w14:paraId="457F5E69" w14:textId="77777777" w:rsidR="00CF46C9" w:rsidRPr="00A172CC" w:rsidRDefault="00CF46C9" w:rsidP="00322417"/>
        </w:tc>
        <w:tc>
          <w:tcPr>
            <w:tcW w:w="279" w:type="pct"/>
            <w:vAlign w:val="center"/>
          </w:tcPr>
          <w:p w14:paraId="4255CDE4" w14:textId="77777777" w:rsidR="00CF46C9" w:rsidRPr="00A172CC" w:rsidRDefault="00CF46C9" w:rsidP="00322417"/>
        </w:tc>
        <w:tc>
          <w:tcPr>
            <w:tcW w:w="279" w:type="pct"/>
            <w:vAlign w:val="center"/>
          </w:tcPr>
          <w:p w14:paraId="70C8854F" w14:textId="77777777" w:rsidR="00CF46C9" w:rsidRPr="00A172CC" w:rsidRDefault="00CF46C9" w:rsidP="00322417"/>
        </w:tc>
        <w:tc>
          <w:tcPr>
            <w:tcW w:w="258" w:type="pct"/>
            <w:vAlign w:val="center"/>
          </w:tcPr>
          <w:p w14:paraId="57AF0D9A" w14:textId="77777777" w:rsidR="00CF46C9" w:rsidRPr="00A172CC" w:rsidRDefault="00CF46C9" w:rsidP="00322417"/>
        </w:tc>
      </w:tr>
      <w:tr w:rsidR="00CF46C9" w:rsidRPr="00A172CC" w14:paraId="42BA1D73" w14:textId="77777777" w:rsidTr="00CF46C9">
        <w:trPr>
          <w:trHeight w:hRule="exact" w:val="395"/>
        </w:trPr>
        <w:tc>
          <w:tcPr>
            <w:tcW w:w="534" w:type="pct"/>
            <w:vAlign w:val="center"/>
          </w:tcPr>
          <w:p w14:paraId="2081C7FF" w14:textId="77777777" w:rsidR="00CF46C9" w:rsidRPr="00A172CC" w:rsidRDefault="00CF46C9" w:rsidP="00322417">
            <w:r w:rsidRPr="00A172CC">
              <w:t>Total</w:t>
            </w:r>
          </w:p>
        </w:tc>
        <w:tc>
          <w:tcPr>
            <w:tcW w:w="284" w:type="pct"/>
          </w:tcPr>
          <w:p w14:paraId="751C8736" w14:textId="0887DA66" w:rsidR="00CF46C9" w:rsidRPr="00A172CC" w:rsidRDefault="004D7B9B" w:rsidP="00322417">
            <w:r>
              <w:t>9</w:t>
            </w:r>
          </w:p>
        </w:tc>
        <w:tc>
          <w:tcPr>
            <w:tcW w:w="284" w:type="pct"/>
          </w:tcPr>
          <w:p w14:paraId="627C1D20" w14:textId="77777777" w:rsidR="00CF46C9" w:rsidRPr="00A172CC" w:rsidRDefault="00CF46C9" w:rsidP="00322417"/>
        </w:tc>
        <w:tc>
          <w:tcPr>
            <w:tcW w:w="284" w:type="pct"/>
          </w:tcPr>
          <w:p w14:paraId="4E762DDD" w14:textId="409AA5B7" w:rsidR="00CF46C9" w:rsidRPr="00A172CC" w:rsidRDefault="004D7B9B" w:rsidP="00322417">
            <w:r>
              <w:t>16</w:t>
            </w:r>
          </w:p>
        </w:tc>
        <w:tc>
          <w:tcPr>
            <w:tcW w:w="284" w:type="pct"/>
          </w:tcPr>
          <w:p w14:paraId="30CFD058" w14:textId="7D20F9CF" w:rsidR="00CF46C9" w:rsidRPr="00A172CC" w:rsidRDefault="00CF46C9" w:rsidP="00322417"/>
        </w:tc>
        <w:tc>
          <w:tcPr>
            <w:tcW w:w="279" w:type="pct"/>
            <w:vAlign w:val="center"/>
          </w:tcPr>
          <w:p w14:paraId="2DE25316" w14:textId="18B347A2" w:rsidR="00CF46C9" w:rsidRPr="00A172CC" w:rsidRDefault="00CF46C9" w:rsidP="00322417">
            <w:r w:rsidRPr="00A172CC">
              <w:t>13</w:t>
            </w:r>
          </w:p>
        </w:tc>
        <w:tc>
          <w:tcPr>
            <w:tcW w:w="281" w:type="pct"/>
            <w:vAlign w:val="center"/>
          </w:tcPr>
          <w:p w14:paraId="5E9A377A" w14:textId="77777777" w:rsidR="00CF46C9" w:rsidRPr="00A172CC" w:rsidRDefault="00CF46C9" w:rsidP="00322417"/>
        </w:tc>
        <w:tc>
          <w:tcPr>
            <w:tcW w:w="279" w:type="pct"/>
            <w:vAlign w:val="center"/>
          </w:tcPr>
          <w:p w14:paraId="5D4F1DE8" w14:textId="77777777" w:rsidR="00CF46C9" w:rsidRPr="00A172CC" w:rsidRDefault="00CF46C9" w:rsidP="00322417">
            <w:r w:rsidRPr="00A172CC">
              <w:t>17</w:t>
            </w:r>
          </w:p>
        </w:tc>
        <w:tc>
          <w:tcPr>
            <w:tcW w:w="280" w:type="pct"/>
            <w:vAlign w:val="center"/>
          </w:tcPr>
          <w:p w14:paraId="3F3B3E46" w14:textId="77777777" w:rsidR="00CF46C9" w:rsidRPr="00A172CC" w:rsidRDefault="00CF46C9" w:rsidP="00322417"/>
        </w:tc>
        <w:tc>
          <w:tcPr>
            <w:tcW w:w="279" w:type="pct"/>
            <w:vAlign w:val="center"/>
          </w:tcPr>
          <w:p w14:paraId="5ED0D9F8" w14:textId="77777777" w:rsidR="00CF46C9" w:rsidRPr="00A172CC" w:rsidRDefault="00CF46C9" w:rsidP="00322417">
            <w:r w:rsidRPr="00A172CC">
              <w:t>12</w:t>
            </w:r>
          </w:p>
        </w:tc>
        <w:tc>
          <w:tcPr>
            <w:tcW w:w="279" w:type="pct"/>
            <w:vAlign w:val="center"/>
          </w:tcPr>
          <w:p w14:paraId="0D46F76F" w14:textId="77777777" w:rsidR="00CF46C9" w:rsidRPr="00A172CC" w:rsidRDefault="00CF46C9" w:rsidP="00322417"/>
        </w:tc>
        <w:tc>
          <w:tcPr>
            <w:tcW w:w="279" w:type="pct"/>
            <w:vAlign w:val="center"/>
          </w:tcPr>
          <w:p w14:paraId="768F05DC" w14:textId="77777777" w:rsidR="00CF46C9" w:rsidRPr="00A172CC" w:rsidRDefault="00CF46C9" w:rsidP="00322417">
            <w:r w:rsidRPr="00A172CC">
              <w:t>21</w:t>
            </w:r>
          </w:p>
        </w:tc>
        <w:tc>
          <w:tcPr>
            <w:tcW w:w="279" w:type="pct"/>
            <w:vAlign w:val="center"/>
          </w:tcPr>
          <w:p w14:paraId="67E0AD06" w14:textId="77777777" w:rsidR="00CF46C9" w:rsidRPr="00A172CC" w:rsidRDefault="00CF46C9" w:rsidP="00322417"/>
        </w:tc>
        <w:tc>
          <w:tcPr>
            <w:tcW w:w="279" w:type="pct"/>
            <w:vAlign w:val="center"/>
          </w:tcPr>
          <w:p w14:paraId="315AB2CC" w14:textId="77777777" w:rsidR="00CF46C9" w:rsidRPr="00A172CC" w:rsidRDefault="00CF46C9" w:rsidP="00322417">
            <w:r w:rsidRPr="00A172CC">
              <w:t>17</w:t>
            </w:r>
          </w:p>
        </w:tc>
        <w:tc>
          <w:tcPr>
            <w:tcW w:w="279" w:type="pct"/>
            <w:vAlign w:val="center"/>
          </w:tcPr>
          <w:p w14:paraId="7F89F9FF" w14:textId="77777777" w:rsidR="00CF46C9" w:rsidRPr="00A172CC" w:rsidRDefault="00CF46C9" w:rsidP="00322417"/>
        </w:tc>
        <w:tc>
          <w:tcPr>
            <w:tcW w:w="279" w:type="pct"/>
            <w:vAlign w:val="center"/>
          </w:tcPr>
          <w:p w14:paraId="6B48AD2F" w14:textId="77777777" w:rsidR="00CF46C9" w:rsidRPr="00A172CC" w:rsidRDefault="00CF46C9" w:rsidP="00322417">
            <w:r w:rsidRPr="00A172CC">
              <w:t>18</w:t>
            </w:r>
          </w:p>
        </w:tc>
        <w:tc>
          <w:tcPr>
            <w:tcW w:w="258" w:type="pct"/>
            <w:vAlign w:val="center"/>
          </w:tcPr>
          <w:p w14:paraId="5E28E686" w14:textId="77777777" w:rsidR="00CF46C9" w:rsidRPr="00A172CC" w:rsidRDefault="00CF46C9" w:rsidP="00322417"/>
        </w:tc>
      </w:tr>
    </w:tbl>
    <w:p w14:paraId="4E568729" w14:textId="6FC996D5" w:rsidR="00CF46C9" w:rsidRDefault="00CF46C9" w:rsidP="00131FDC">
      <w:pPr>
        <w:spacing w:after="0"/>
        <w:rPr>
          <w:rStyle w:val="Ref"/>
          <w:rFonts w:eastAsia="Calibri"/>
          <w:color w:val="000000"/>
          <w:szCs w:val="23"/>
        </w:rPr>
      </w:pPr>
    </w:p>
    <w:p w14:paraId="06B6B2C5" w14:textId="77777777" w:rsidR="004D7B9B" w:rsidRPr="00A172CC" w:rsidRDefault="004D7B9B" w:rsidP="004D7B9B">
      <w:bookmarkStart w:id="8" w:name="_Toc493244218"/>
      <w:bookmarkStart w:id="9" w:name="_Toc493244727"/>
      <w:bookmarkStart w:id="10" w:name="_Toc525140716"/>
      <w:r w:rsidRPr="00A172CC">
        <w:lastRenderedPageBreak/>
        <w:t>FHS Course 1 and 2 combined</w:t>
      </w:r>
      <w:bookmarkEnd w:id="8"/>
      <w:bookmarkEnd w:id="9"/>
      <w:bookmarkEnd w:id="10"/>
    </w:p>
    <w:p w14:paraId="57473A23" w14:textId="628E38F0" w:rsidR="004D7B9B" w:rsidRDefault="004D7B9B" w:rsidP="00131FDC">
      <w:pPr>
        <w:spacing w:after="0"/>
        <w:rPr>
          <w:rStyle w:val="Ref"/>
          <w:rFonts w:eastAsia="Calibri"/>
          <w:color w:val="000000"/>
          <w:szCs w:val="23"/>
        </w:rPr>
      </w:pPr>
    </w:p>
    <w:tbl>
      <w:tblPr>
        <w:tblW w:w="5750" w:type="pct"/>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65"/>
        <w:gridCol w:w="566"/>
        <w:gridCol w:w="707"/>
        <w:gridCol w:w="504"/>
        <w:gridCol w:w="632"/>
        <w:gridCol w:w="570"/>
        <w:gridCol w:w="705"/>
        <w:gridCol w:w="585"/>
        <w:gridCol w:w="568"/>
        <w:gridCol w:w="570"/>
        <w:gridCol w:w="688"/>
        <w:gridCol w:w="574"/>
        <w:gridCol w:w="568"/>
        <w:gridCol w:w="568"/>
        <w:gridCol w:w="709"/>
        <w:gridCol w:w="556"/>
      </w:tblGrid>
      <w:tr w:rsidR="00113B33" w:rsidRPr="00A172CC" w14:paraId="7840C74A" w14:textId="77777777" w:rsidTr="00113B33">
        <w:trPr>
          <w:trHeight w:hRule="exact" w:val="440"/>
        </w:trPr>
        <w:tc>
          <w:tcPr>
            <w:tcW w:w="353" w:type="pct"/>
            <w:vAlign w:val="center"/>
          </w:tcPr>
          <w:p w14:paraId="2AE5B57A" w14:textId="77777777" w:rsidR="004D7B9B" w:rsidRPr="00A172CC" w:rsidRDefault="004D7B9B" w:rsidP="00FF7003"/>
        </w:tc>
        <w:tc>
          <w:tcPr>
            <w:tcW w:w="1129" w:type="pct"/>
            <w:gridSpan w:val="4"/>
          </w:tcPr>
          <w:p w14:paraId="578E1D26" w14:textId="2D4E8E8E" w:rsidR="004D7B9B" w:rsidRPr="00A172CC" w:rsidRDefault="004D7B9B" w:rsidP="00FF7003">
            <w:r>
              <w:t>2020</w:t>
            </w:r>
          </w:p>
        </w:tc>
        <w:tc>
          <w:tcPr>
            <w:tcW w:w="1202" w:type="pct"/>
            <w:gridSpan w:val="4"/>
          </w:tcPr>
          <w:p w14:paraId="496FD080" w14:textId="6484D938" w:rsidR="004D7B9B" w:rsidRPr="00A172CC" w:rsidRDefault="004D7B9B" w:rsidP="00FF7003">
            <w:r w:rsidRPr="00A172CC">
              <w:t>2019</w:t>
            </w:r>
          </w:p>
        </w:tc>
        <w:tc>
          <w:tcPr>
            <w:tcW w:w="1157" w:type="pct"/>
            <w:gridSpan w:val="4"/>
            <w:vAlign w:val="center"/>
          </w:tcPr>
          <w:p w14:paraId="619EADC4" w14:textId="77777777" w:rsidR="004D7B9B" w:rsidRPr="00A172CC" w:rsidRDefault="004D7B9B" w:rsidP="00FF7003">
            <w:r w:rsidRPr="00A172CC">
              <w:t>2018</w:t>
            </w:r>
          </w:p>
        </w:tc>
        <w:tc>
          <w:tcPr>
            <w:tcW w:w="1158" w:type="pct"/>
            <w:gridSpan w:val="4"/>
            <w:vAlign w:val="center"/>
          </w:tcPr>
          <w:p w14:paraId="1F7D2E4B" w14:textId="77777777" w:rsidR="004D7B9B" w:rsidRPr="00A172CC" w:rsidRDefault="004D7B9B" w:rsidP="00FF7003">
            <w:r w:rsidRPr="00A172CC">
              <w:t>2017</w:t>
            </w:r>
          </w:p>
        </w:tc>
      </w:tr>
      <w:tr w:rsidR="00113B33" w:rsidRPr="00A172CC" w14:paraId="6FD43008" w14:textId="77777777" w:rsidTr="00113B33">
        <w:trPr>
          <w:trHeight w:hRule="exact" w:val="440"/>
        </w:trPr>
        <w:tc>
          <w:tcPr>
            <w:tcW w:w="353" w:type="pct"/>
            <w:vAlign w:val="center"/>
          </w:tcPr>
          <w:p w14:paraId="682A4A41" w14:textId="77777777" w:rsidR="004D7B9B" w:rsidRPr="00A172CC" w:rsidRDefault="004D7B9B" w:rsidP="00FF7003"/>
        </w:tc>
        <w:tc>
          <w:tcPr>
            <w:tcW w:w="545" w:type="pct"/>
            <w:gridSpan w:val="2"/>
          </w:tcPr>
          <w:p w14:paraId="671CF690" w14:textId="60B3979D" w:rsidR="004D7B9B" w:rsidRPr="00A172CC" w:rsidRDefault="004D7B9B" w:rsidP="00FF7003">
            <w:r>
              <w:t>Male</w:t>
            </w:r>
          </w:p>
        </w:tc>
        <w:tc>
          <w:tcPr>
            <w:tcW w:w="584" w:type="pct"/>
            <w:gridSpan w:val="2"/>
          </w:tcPr>
          <w:p w14:paraId="7E31533B" w14:textId="70A3B1AE" w:rsidR="004D7B9B" w:rsidRPr="00A172CC" w:rsidRDefault="004D7B9B" w:rsidP="00FF7003">
            <w:r>
              <w:t>Female</w:t>
            </w:r>
          </w:p>
        </w:tc>
        <w:tc>
          <w:tcPr>
            <w:tcW w:w="580" w:type="pct"/>
            <w:gridSpan w:val="2"/>
          </w:tcPr>
          <w:p w14:paraId="396FA0DE" w14:textId="0201128D" w:rsidR="004D7B9B" w:rsidRPr="00A172CC" w:rsidRDefault="004D7B9B" w:rsidP="00FF7003">
            <w:r w:rsidRPr="00A172CC">
              <w:t>Male</w:t>
            </w:r>
          </w:p>
        </w:tc>
        <w:tc>
          <w:tcPr>
            <w:tcW w:w="622" w:type="pct"/>
            <w:gridSpan w:val="2"/>
          </w:tcPr>
          <w:p w14:paraId="0A7B24CA" w14:textId="77777777" w:rsidR="004D7B9B" w:rsidRPr="00A172CC" w:rsidRDefault="004D7B9B" w:rsidP="00FF7003">
            <w:r w:rsidRPr="00A172CC">
              <w:t>Female</w:t>
            </w:r>
          </w:p>
        </w:tc>
        <w:tc>
          <w:tcPr>
            <w:tcW w:w="549" w:type="pct"/>
            <w:gridSpan w:val="2"/>
            <w:vAlign w:val="center"/>
          </w:tcPr>
          <w:p w14:paraId="313F1F71" w14:textId="77777777" w:rsidR="004D7B9B" w:rsidRPr="00A172CC" w:rsidRDefault="004D7B9B" w:rsidP="00FF7003">
            <w:r w:rsidRPr="00A172CC">
              <w:t>Male</w:t>
            </w:r>
          </w:p>
        </w:tc>
        <w:tc>
          <w:tcPr>
            <w:tcW w:w="609" w:type="pct"/>
            <w:gridSpan w:val="2"/>
            <w:vAlign w:val="center"/>
          </w:tcPr>
          <w:p w14:paraId="5DA60585" w14:textId="77777777" w:rsidR="004D7B9B" w:rsidRPr="00A172CC" w:rsidRDefault="004D7B9B" w:rsidP="00FF7003">
            <w:r w:rsidRPr="00A172CC">
              <w:t>Female</w:t>
            </w:r>
          </w:p>
        </w:tc>
        <w:tc>
          <w:tcPr>
            <w:tcW w:w="548" w:type="pct"/>
            <w:gridSpan w:val="2"/>
            <w:vAlign w:val="center"/>
          </w:tcPr>
          <w:p w14:paraId="452EA67E" w14:textId="77777777" w:rsidR="004D7B9B" w:rsidRPr="00A172CC" w:rsidRDefault="004D7B9B" w:rsidP="00FF7003">
            <w:r w:rsidRPr="00A172CC">
              <w:t>Male</w:t>
            </w:r>
          </w:p>
        </w:tc>
        <w:tc>
          <w:tcPr>
            <w:tcW w:w="610" w:type="pct"/>
            <w:gridSpan w:val="2"/>
            <w:vAlign w:val="center"/>
          </w:tcPr>
          <w:p w14:paraId="29B60E2F" w14:textId="77777777" w:rsidR="004D7B9B" w:rsidRPr="00A172CC" w:rsidRDefault="004D7B9B" w:rsidP="00FF7003">
            <w:r w:rsidRPr="00A172CC">
              <w:t>Female</w:t>
            </w:r>
          </w:p>
        </w:tc>
      </w:tr>
      <w:tr w:rsidR="00113B33" w:rsidRPr="00A172CC" w14:paraId="1609DED7" w14:textId="77777777" w:rsidTr="00113B33">
        <w:trPr>
          <w:trHeight w:hRule="exact" w:val="440"/>
        </w:trPr>
        <w:tc>
          <w:tcPr>
            <w:tcW w:w="353" w:type="pct"/>
          </w:tcPr>
          <w:p w14:paraId="3A43A475" w14:textId="77777777" w:rsidR="004D7B9B" w:rsidRPr="00A172CC" w:rsidRDefault="004D7B9B" w:rsidP="00FF7003"/>
        </w:tc>
        <w:tc>
          <w:tcPr>
            <w:tcW w:w="272" w:type="pct"/>
          </w:tcPr>
          <w:p w14:paraId="4727FE39" w14:textId="6DC98395" w:rsidR="004D7B9B" w:rsidRPr="00A172CC" w:rsidRDefault="00B43260" w:rsidP="00FF7003">
            <w:r>
              <w:t>No</w:t>
            </w:r>
          </w:p>
        </w:tc>
        <w:tc>
          <w:tcPr>
            <w:tcW w:w="273" w:type="pct"/>
          </w:tcPr>
          <w:p w14:paraId="6450BB8E" w14:textId="66C9DD3E" w:rsidR="004D7B9B" w:rsidRPr="00A172CC" w:rsidRDefault="00B43260" w:rsidP="00FF7003">
            <w:r>
              <w:t>%</w:t>
            </w:r>
          </w:p>
        </w:tc>
        <w:tc>
          <w:tcPr>
            <w:tcW w:w="341" w:type="pct"/>
          </w:tcPr>
          <w:p w14:paraId="0838112E" w14:textId="5ED43009" w:rsidR="004D7B9B" w:rsidRPr="00A172CC" w:rsidRDefault="00B43260" w:rsidP="00FF7003">
            <w:r>
              <w:t>No</w:t>
            </w:r>
          </w:p>
        </w:tc>
        <w:tc>
          <w:tcPr>
            <w:tcW w:w="243" w:type="pct"/>
          </w:tcPr>
          <w:p w14:paraId="1BF9DC27" w14:textId="0D43C009" w:rsidR="004D7B9B" w:rsidRPr="00A172CC" w:rsidRDefault="00B43260" w:rsidP="00FF7003">
            <w:r>
              <w:t>%</w:t>
            </w:r>
          </w:p>
        </w:tc>
        <w:tc>
          <w:tcPr>
            <w:tcW w:w="305" w:type="pct"/>
          </w:tcPr>
          <w:p w14:paraId="5008F897" w14:textId="4552FE7D" w:rsidR="004D7B9B" w:rsidRPr="00A172CC" w:rsidRDefault="004D7B9B" w:rsidP="00FF7003">
            <w:r w:rsidRPr="00A172CC">
              <w:t>No</w:t>
            </w:r>
          </w:p>
        </w:tc>
        <w:tc>
          <w:tcPr>
            <w:tcW w:w="275" w:type="pct"/>
          </w:tcPr>
          <w:p w14:paraId="03359BC4" w14:textId="77777777" w:rsidR="004D7B9B" w:rsidRPr="00A172CC" w:rsidRDefault="004D7B9B" w:rsidP="00FF7003">
            <w:r w:rsidRPr="00A172CC">
              <w:t>%</w:t>
            </w:r>
          </w:p>
        </w:tc>
        <w:tc>
          <w:tcPr>
            <w:tcW w:w="340" w:type="pct"/>
          </w:tcPr>
          <w:p w14:paraId="3AA558B0" w14:textId="77777777" w:rsidR="004D7B9B" w:rsidRPr="00A172CC" w:rsidRDefault="004D7B9B" w:rsidP="00FF7003">
            <w:r w:rsidRPr="00A172CC">
              <w:t>No</w:t>
            </w:r>
          </w:p>
        </w:tc>
        <w:tc>
          <w:tcPr>
            <w:tcW w:w="282" w:type="pct"/>
          </w:tcPr>
          <w:p w14:paraId="74483167" w14:textId="77777777" w:rsidR="004D7B9B" w:rsidRPr="00A172CC" w:rsidRDefault="004D7B9B" w:rsidP="00FF7003">
            <w:r w:rsidRPr="00A172CC">
              <w:t>%</w:t>
            </w:r>
          </w:p>
        </w:tc>
        <w:tc>
          <w:tcPr>
            <w:tcW w:w="274" w:type="pct"/>
            <w:vAlign w:val="center"/>
          </w:tcPr>
          <w:p w14:paraId="109C289E" w14:textId="77777777" w:rsidR="004D7B9B" w:rsidRPr="00A172CC" w:rsidRDefault="004D7B9B" w:rsidP="00FF7003">
            <w:r w:rsidRPr="00A172CC">
              <w:t>No</w:t>
            </w:r>
          </w:p>
        </w:tc>
        <w:tc>
          <w:tcPr>
            <w:tcW w:w="275" w:type="pct"/>
            <w:vAlign w:val="center"/>
          </w:tcPr>
          <w:p w14:paraId="51CEF3F6" w14:textId="77777777" w:rsidR="004D7B9B" w:rsidRPr="00A172CC" w:rsidRDefault="004D7B9B" w:rsidP="00FF7003">
            <w:r w:rsidRPr="00A172CC">
              <w:t>%</w:t>
            </w:r>
          </w:p>
        </w:tc>
        <w:tc>
          <w:tcPr>
            <w:tcW w:w="332" w:type="pct"/>
            <w:vAlign w:val="center"/>
          </w:tcPr>
          <w:p w14:paraId="0B7217E9" w14:textId="77777777" w:rsidR="004D7B9B" w:rsidRPr="00A172CC" w:rsidRDefault="004D7B9B" w:rsidP="00FF7003">
            <w:r w:rsidRPr="00A172CC">
              <w:t>No</w:t>
            </w:r>
          </w:p>
        </w:tc>
        <w:tc>
          <w:tcPr>
            <w:tcW w:w="277" w:type="pct"/>
            <w:vAlign w:val="center"/>
          </w:tcPr>
          <w:p w14:paraId="330BFC91" w14:textId="77777777" w:rsidR="004D7B9B" w:rsidRPr="00A172CC" w:rsidRDefault="004D7B9B" w:rsidP="00FF7003">
            <w:r w:rsidRPr="00A172CC">
              <w:t>%</w:t>
            </w:r>
          </w:p>
        </w:tc>
        <w:tc>
          <w:tcPr>
            <w:tcW w:w="274" w:type="pct"/>
            <w:vAlign w:val="center"/>
          </w:tcPr>
          <w:p w14:paraId="6DE525FB" w14:textId="77777777" w:rsidR="004D7B9B" w:rsidRPr="00A172CC" w:rsidRDefault="004D7B9B" w:rsidP="00FF7003">
            <w:r w:rsidRPr="00A172CC">
              <w:t>No</w:t>
            </w:r>
          </w:p>
        </w:tc>
        <w:tc>
          <w:tcPr>
            <w:tcW w:w="274" w:type="pct"/>
            <w:vAlign w:val="center"/>
          </w:tcPr>
          <w:p w14:paraId="0AEF1030" w14:textId="77777777" w:rsidR="004D7B9B" w:rsidRPr="00A172CC" w:rsidRDefault="004D7B9B" w:rsidP="00FF7003">
            <w:r w:rsidRPr="00A172CC">
              <w:t>%</w:t>
            </w:r>
          </w:p>
        </w:tc>
        <w:tc>
          <w:tcPr>
            <w:tcW w:w="342" w:type="pct"/>
            <w:vAlign w:val="center"/>
          </w:tcPr>
          <w:p w14:paraId="104CBA9C" w14:textId="77777777" w:rsidR="004D7B9B" w:rsidRPr="00A172CC" w:rsidRDefault="004D7B9B" w:rsidP="00FF7003">
            <w:r w:rsidRPr="00A172CC">
              <w:t>No</w:t>
            </w:r>
          </w:p>
        </w:tc>
        <w:tc>
          <w:tcPr>
            <w:tcW w:w="268" w:type="pct"/>
            <w:vAlign w:val="center"/>
          </w:tcPr>
          <w:p w14:paraId="6A9FBCD9" w14:textId="77777777" w:rsidR="004D7B9B" w:rsidRPr="00A172CC" w:rsidRDefault="004D7B9B" w:rsidP="00FF7003">
            <w:r w:rsidRPr="00A172CC">
              <w:t>%</w:t>
            </w:r>
          </w:p>
        </w:tc>
      </w:tr>
      <w:tr w:rsidR="00113B33" w:rsidRPr="00A172CC" w14:paraId="0587028F" w14:textId="77777777" w:rsidTr="00113B33">
        <w:trPr>
          <w:trHeight w:hRule="exact" w:val="440"/>
        </w:trPr>
        <w:tc>
          <w:tcPr>
            <w:tcW w:w="353" w:type="pct"/>
            <w:vAlign w:val="center"/>
          </w:tcPr>
          <w:p w14:paraId="13B690C3" w14:textId="77777777" w:rsidR="004D7B9B" w:rsidRPr="00A172CC" w:rsidRDefault="004D7B9B" w:rsidP="00FF7003">
            <w:r w:rsidRPr="00A172CC">
              <w:t>I</w:t>
            </w:r>
          </w:p>
        </w:tc>
        <w:tc>
          <w:tcPr>
            <w:tcW w:w="272" w:type="pct"/>
          </w:tcPr>
          <w:p w14:paraId="3A15B46F" w14:textId="1216C1CE" w:rsidR="004D7B9B" w:rsidRPr="00A172CC" w:rsidRDefault="00113B33" w:rsidP="00FF7003">
            <w:r>
              <w:t>36</w:t>
            </w:r>
          </w:p>
        </w:tc>
        <w:tc>
          <w:tcPr>
            <w:tcW w:w="273" w:type="pct"/>
          </w:tcPr>
          <w:p w14:paraId="6DB7EA93" w14:textId="672BE371" w:rsidR="004D7B9B" w:rsidRPr="00A172CC" w:rsidRDefault="00113B33" w:rsidP="00FF7003">
            <w:r>
              <w:t>43</w:t>
            </w:r>
          </w:p>
        </w:tc>
        <w:tc>
          <w:tcPr>
            <w:tcW w:w="341" w:type="pct"/>
          </w:tcPr>
          <w:p w14:paraId="43AF0AF4" w14:textId="65179C9B" w:rsidR="004D7B9B" w:rsidRPr="00A172CC" w:rsidRDefault="00113B33" w:rsidP="00FF7003">
            <w:r>
              <w:t>30</w:t>
            </w:r>
          </w:p>
        </w:tc>
        <w:tc>
          <w:tcPr>
            <w:tcW w:w="243" w:type="pct"/>
          </w:tcPr>
          <w:p w14:paraId="43ECE8D0" w14:textId="0C2C4D42" w:rsidR="004D7B9B" w:rsidRPr="00A172CC" w:rsidRDefault="00113B33" w:rsidP="00FF7003">
            <w:r>
              <w:t>26</w:t>
            </w:r>
          </w:p>
        </w:tc>
        <w:tc>
          <w:tcPr>
            <w:tcW w:w="305" w:type="pct"/>
          </w:tcPr>
          <w:p w14:paraId="5DDC3439" w14:textId="5B7F765E" w:rsidR="004D7B9B" w:rsidRPr="00A172CC" w:rsidRDefault="004D7B9B" w:rsidP="00FF7003">
            <w:r w:rsidRPr="00A172CC">
              <w:t>19</w:t>
            </w:r>
          </w:p>
        </w:tc>
        <w:tc>
          <w:tcPr>
            <w:tcW w:w="275" w:type="pct"/>
          </w:tcPr>
          <w:p w14:paraId="63CC4F10" w14:textId="77777777" w:rsidR="004D7B9B" w:rsidRPr="00A172CC" w:rsidRDefault="004D7B9B" w:rsidP="00FF7003">
            <w:r w:rsidRPr="00A172CC">
              <w:t>18</w:t>
            </w:r>
          </w:p>
        </w:tc>
        <w:tc>
          <w:tcPr>
            <w:tcW w:w="340" w:type="pct"/>
          </w:tcPr>
          <w:p w14:paraId="30020948" w14:textId="77777777" w:rsidR="004D7B9B" w:rsidRPr="00A172CC" w:rsidRDefault="004D7B9B" w:rsidP="00FF7003">
            <w:r w:rsidRPr="00A172CC">
              <w:t>24</w:t>
            </w:r>
          </w:p>
        </w:tc>
        <w:tc>
          <w:tcPr>
            <w:tcW w:w="282" w:type="pct"/>
          </w:tcPr>
          <w:p w14:paraId="592ADB48" w14:textId="77777777" w:rsidR="004D7B9B" w:rsidRPr="00A172CC" w:rsidRDefault="004D7B9B" w:rsidP="00FF7003">
            <w:r w:rsidRPr="00A172CC">
              <w:t>18</w:t>
            </w:r>
          </w:p>
        </w:tc>
        <w:tc>
          <w:tcPr>
            <w:tcW w:w="274" w:type="pct"/>
            <w:vAlign w:val="center"/>
          </w:tcPr>
          <w:p w14:paraId="5C2B47F9" w14:textId="77777777" w:rsidR="004D7B9B" w:rsidRPr="00A172CC" w:rsidRDefault="004D7B9B" w:rsidP="00FF7003">
            <w:r w:rsidRPr="00A172CC">
              <w:t>27</w:t>
            </w:r>
          </w:p>
        </w:tc>
        <w:tc>
          <w:tcPr>
            <w:tcW w:w="275" w:type="pct"/>
            <w:vAlign w:val="center"/>
          </w:tcPr>
          <w:p w14:paraId="03750E1A" w14:textId="77777777" w:rsidR="004D7B9B" w:rsidRPr="00A172CC" w:rsidRDefault="004D7B9B" w:rsidP="00FF7003">
            <w:r w:rsidRPr="00A172CC">
              <w:t>29</w:t>
            </w:r>
          </w:p>
        </w:tc>
        <w:tc>
          <w:tcPr>
            <w:tcW w:w="332" w:type="pct"/>
            <w:vAlign w:val="center"/>
          </w:tcPr>
          <w:p w14:paraId="3CAAAB7A" w14:textId="77777777" w:rsidR="004D7B9B" w:rsidRPr="00A172CC" w:rsidRDefault="004D7B9B" w:rsidP="00FF7003">
            <w:r w:rsidRPr="00A172CC">
              <w:t>21</w:t>
            </w:r>
          </w:p>
        </w:tc>
        <w:tc>
          <w:tcPr>
            <w:tcW w:w="277" w:type="pct"/>
            <w:vAlign w:val="center"/>
          </w:tcPr>
          <w:p w14:paraId="7A812B5A" w14:textId="77777777" w:rsidR="004D7B9B" w:rsidRPr="00A172CC" w:rsidRDefault="004D7B9B" w:rsidP="00FF7003">
            <w:r w:rsidRPr="00A172CC">
              <w:t>17</w:t>
            </w:r>
          </w:p>
        </w:tc>
        <w:tc>
          <w:tcPr>
            <w:tcW w:w="274" w:type="pct"/>
            <w:vAlign w:val="center"/>
          </w:tcPr>
          <w:p w14:paraId="48691933" w14:textId="77777777" w:rsidR="004D7B9B" w:rsidRPr="00A172CC" w:rsidRDefault="004D7B9B" w:rsidP="00FF7003">
            <w:r w:rsidRPr="00A172CC">
              <w:t>27</w:t>
            </w:r>
          </w:p>
        </w:tc>
        <w:tc>
          <w:tcPr>
            <w:tcW w:w="274" w:type="pct"/>
            <w:vAlign w:val="center"/>
          </w:tcPr>
          <w:p w14:paraId="02F89CF6" w14:textId="77777777" w:rsidR="004D7B9B" w:rsidRPr="00A172CC" w:rsidRDefault="004D7B9B" w:rsidP="00FF7003">
            <w:r w:rsidRPr="00A172CC">
              <w:t>28</w:t>
            </w:r>
          </w:p>
        </w:tc>
        <w:tc>
          <w:tcPr>
            <w:tcW w:w="342" w:type="pct"/>
            <w:vAlign w:val="center"/>
          </w:tcPr>
          <w:p w14:paraId="16AA3E45" w14:textId="77777777" w:rsidR="004D7B9B" w:rsidRPr="00A172CC" w:rsidRDefault="004D7B9B" w:rsidP="00FF7003">
            <w:r w:rsidRPr="00A172CC">
              <w:t>22</w:t>
            </w:r>
          </w:p>
        </w:tc>
        <w:tc>
          <w:tcPr>
            <w:tcW w:w="268" w:type="pct"/>
            <w:vAlign w:val="center"/>
          </w:tcPr>
          <w:p w14:paraId="1C2399B0" w14:textId="77777777" w:rsidR="004D7B9B" w:rsidRPr="00A172CC" w:rsidRDefault="004D7B9B" w:rsidP="00FF7003">
            <w:r w:rsidRPr="00A172CC">
              <w:t>17</w:t>
            </w:r>
          </w:p>
        </w:tc>
      </w:tr>
      <w:tr w:rsidR="00113B33" w:rsidRPr="00A172CC" w14:paraId="38F67E02" w14:textId="77777777" w:rsidTr="00113B33">
        <w:trPr>
          <w:trHeight w:hRule="exact" w:val="440"/>
        </w:trPr>
        <w:tc>
          <w:tcPr>
            <w:tcW w:w="353" w:type="pct"/>
            <w:vAlign w:val="center"/>
          </w:tcPr>
          <w:p w14:paraId="2779E4F1" w14:textId="77777777" w:rsidR="004D7B9B" w:rsidRPr="00A172CC" w:rsidRDefault="004D7B9B" w:rsidP="00FF7003">
            <w:r w:rsidRPr="00A172CC">
              <w:t>II.I</w:t>
            </w:r>
          </w:p>
        </w:tc>
        <w:tc>
          <w:tcPr>
            <w:tcW w:w="272" w:type="pct"/>
          </w:tcPr>
          <w:p w14:paraId="711BAE11" w14:textId="7468B9E6" w:rsidR="004D7B9B" w:rsidRPr="00A172CC" w:rsidRDefault="00113B33" w:rsidP="00FF7003">
            <w:r>
              <w:t>47</w:t>
            </w:r>
          </w:p>
        </w:tc>
        <w:tc>
          <w:tcPr>
            <w:tcW w:w="273" w:type="pct"/>
          </w:tcPr>
          <w:p w14:paraId="4DF1B4E4" w14:textId="28B3BD5C" w:rsidR="004D7B9B" w:rsidRPr="00A172CC" w:rsidRDefault="00113B33" w:rsidP="00FF7003">
            <w:r>
              <w:t>56</w:t>
            </w:r>
          </w:p>
        </w:tc>
        <w:tc>
          <w:tcPr>
            <w:tcW w:w="341" w:type="pct"/>
          </w:tcPr>
          <w:p w14:paraId="4CB56C43" w14:textId="057C10BA" w:rsidR="004D7B9B" w:rsidRPr="00A172CC" w:rsidRDefault="00113B33" w:rsidP="00FF7003">
            <w:r>
              <w:t>85</w:t>
            </w:r>
          </w:p>
        </w:tc>
        <w:tc>
          <w:tcPr>
            <w:tcW w:w="243" w:type="pct"/>
          </w:tcPr>
          <w:p w14:paraId="56112660" w14:textId="0275AE4B" w:rsidR="004D7B9B" w:rsidRPr="00A172CC" w:rsidRDefault="00113B33" w:rsidP="00FF7003">
            <w:r>
              <w:t>74</w:t>
            </w:r>
          </w:p>
        </w:tc>
        <w:tc>
          <w:tcPr>
            <w:tcW w:w="305" w:type="pct"/>
          </w:tcPr>
          <w:p w14:paraId="0A50C5D9" w14:textId="72AC4648" w:rsidR="004D7B9B" w:rsidRPr="00A172CC" w:rsidRDefault="004D7B9B" w:rsidP="00FF7003">
            <w:r w:rsidRPr="00A172CC">
              <w:t>81</w:t>
            </w:r>
          </w:p>
        </w:tc>
        <w:tc>
          <w:tcPr>
            <w:tcW w:w="275" w:type="pct"/>
          </w:tcPr>
          <w:p w14:paraId="57C2D692" w14:textId="77777777" w:rsidR="004D7B9B" w:rsidRPr="00A172CC" w:rsidRDefault="004D7B9B" w:rsidP="00FF7003">
            <w:r w:rsidRPr="00A172CC">
              <w:t>80</w:t>
            </w:r>
          </w:p>
        </w:tc>
        <w:tc>
          <w:tcPr>
            <w:tcW w:w="340" w:type="pct"/>
          </w:tcPr>
          <w:p w14:paraId="68AE767A" w14:textId="77777777" w:rsidR="004D7B9B" w:rsidRPr="00A172CC" w:rsidRDefault="004D7B9B" w:rsidP="00FF7003">
            <w:r w:rsidRPr="00A172CC">
              <w:t>101</w:t>
            </w:r>
          </w:p>
        </w:tc>
        <w:tc>
          <w:tcPr>
            <w:tcW w:w="282" w:type="pct"/>
          </w:tcPr>
          <w:p w14:paraId="0804258D" w14:textId="77777777" w:rsidR="004D7B9B" w:rsidRPr="00A172CC" w:rsidRDefault="004D7B9B" w:rsidP="00FF7003">
            <w:r w:rsidRPr="00A172CC">
              <w:t>78</w:t>
            </w:r>
          </w:p>
        </w:tc>
        <w:tc>
          <w:tcPr>
            <w:tcW w:w="274" w:type="pct"/>
            <w:vAlign w:val="center"/>
          </w:tcPr>
          <w:p w14:paraId="22215609" w14:textId="77777777" w:rsidR="004D7B9B" w:rsidRPr="00A172CC" w:rsidRDefault="004D7B9B" w:rsidP="00FF7003">
            <w:r w:rsidRPr="00A172CC">
              <w:t>64</w:t>
            </w:r>
          </w:p>
        </w:tc>
        <w:tc>
          <w:tcPr>
            <w:tcW w:w="275" w:type="pct"/>
            <w:vAlign w:val="center"/>
          </w:tcPr>
          <w:p w14:paraId="73EE5981" w14:textId="77777777" w:rsidR="004D7B9B" w:rsidRPr="00A172CC" w:rsidRDefault="004D7B9B" w:rsidP="00FF7003">
            <w:r w:rsidRPr="00A172CC">
              <w:t>69</w:t>
            </w:r>
          </w:p>
        </w:tc>
        <w:tc>
          <w:tcPr>
            <w:tcW w:w="332" w:type="pct"/>
            <w:vAlign w:val="center"/>
          </w:tcPr>
          <w:p w14:paraId="19EC9996" w14:textId="77777777" w:rsidR="004D7B9B" w:rsidRPr="00A172CC" w:rsidRDefault="004D7B9B" w:rsidP="00FF7003">
            <w:r w:rsidRPr="00A172CC">
              <w:t>98</w:t>
            </w:r>
          </w:p>
        </w:tc>
        <w:tc>
          <w:tcPr>
            <w:tcW w:w="277" w:type="pct"/>
            <w:vAlign w:val="center"/>
          </w:tcPr>
          <w:p w14:paraId="24CCBC60" w14:textId="77777777" w:rsidR="004D7B9B" w:rsidRPr="00A172CC" w:rsidRDefault="004D7B9B" w:rsidP="00FF7003">
            <w:r w:rsidRPr="00A172CC">
              <w:t>82</w:t>
            </w:r>
          </w:p>
        </w:tc>
        <w:tc>
          <w:tcPr>
            <w:tcW w:w="274" w:type="pct"/>
            <w:vAlign w:val="center"/>
          </w:tcPr>
          <w:p w14:paraId="5D638125" w14:textId="77777777" w:rsidR="004D7B9B" w:rsidRPr="00A172CC" w:rsidRDefault="004D7B9B" w:rsidP="00FF7003">
            <w:r w:rsidRPr="00A172CC">
              <w:t>67</w:t>
            </w:r>
          </w:p>
        </w:tc>
        <w:tc>
          <w:tcPr>
            <w:tcW w:w="274" w:type="pct"/>
            <w:vAlign w:val="center"/>
          </w:tcPr>
          <w:p w14:paraId="4D5E5337" w14:textId="77777777" w:rsidR="004D7B9B" w:rsidRPr="00A172CC" w:rsidRDefault="004D7B9B" w:rsidP="00FF7003">
            <w:r w:rsidRPr="00A172CC">
              <w:t>70</w:t>
            </w:r>
          </w:p>
        </w:tc>
        <w:tc>
          <w:tcPr>
            <w:tcW w:w="342" w:type="pct"/>
            <w:vAlign w:val="center"/>
          </w:tcPr>
          <w:p w14:paraId="36AB389A" w14:textId="77777777" w:rsidR="004D7B9B" w:rsidRPr="00A172CC" w:rsidRDefault="004D7B9B" w:rsidP="00FF7003">
            <w:r w:rsidRPr="00A172CC">
              <w:t>102</w:t>
            </w:r>
          </w:p>
        </w:tc>
        <w:tc>
          <w:tcPr>
            <w:tcW w:w="268" w:type="pct"/>
            <w:vAlign w:val="center"/>
          </w:tcPr>
          <w:p w14:paraId="61A73AB1" w14:textId="77777777" w:rsidR="004D7B9B" w:rsidRPr="00A172CC" w:rsidRDefault="004D7B9B" w:rsidP="00FF7003">
            <w:r w:rsidRPr="00A172CC">
              <w:t>80</w:t>
            </w:r>
          </w:p>
        </w:tc>
      </w:tr>
      <w:tr w:rsidR="00113B33" w:rsidRPr="00A172CC" w14:paraId="26B5A125" w14:textId="77777777" w:rsidTr="00113B33">
        <w:trPr>
          <w:trHeight w:hRule="exact" w:val="440"/>
        </w:trPr>
        <w:tc>
          <w:tcPr>
            <w:tcW w:w="353" w:type="pct"/>
            <w:vAlign w:val="center"/>
          </w:tcPr>
          <w:p w14:paraId="634CF1E2" w14:textId="77777777" w:rsidR="004D7B9B" w:rsidRPr="00A172CC" w:rsidRDefault="004D7B9B" w:rsidP="00FF7003">
            <w:r w:rsidRPr="00A172CC">
              <w:t>II.II</w:t>
            </w:r>
          </w:p>
        </w:tc>
        <w:tc>
          <w:tcPr>
            <w:tcW w:w="272" w:type="pct"/>
          </w:tcPr>
          <w:p w14:paraId="4753184E" w14:textId="70B0A902" w:rsidR="004D7B9B" w:rsidRPr="00A172CC" w:rsidRDefault="00113B33" w:rsidP="00FF7003">
            <w:r>
              <w:t>1</w:t>
            </w:r>
          </w:p>
        </w:tc>
        <w:tc>
          <w:tcPr>
            <w:tcW w:w="273" w:type="pct"/>
          </w:tcPr>
          <w:p w14:paraId="59D83E81" w14:textId="12743E07" w:rsidR="004D7B9B" w:rsidRPr="00A172CC" w:rsidRDefault="00113B33" w:rsidP="00FF7003">
            <w:r>
              <w:t>1</w:t>
            </w:r>
          </w:p>
        </w:tc>
        <w:tc>
          <w:tcPr>
            <w:tcW w:w="341" w:type="pct"/>
          </w:tcPr>
          <w:p w14:paraId="57E2B05B" w14:textId="77777777" w:rsidR="004D7B9B" w:rsidRPr="00A172CC" w:rsidRDefault="004D7B9B" w:rsidP="00FF7003"/>
        </w:tc>
        <w:tc>
          <w:tcPr>
            <w:tcW w:w="243" w:type="pct"/>
          </w:tcPr>
          <w:p w14:paraId="16995339" w14:textId="3C91FAE6" w:rsidR="004D7B9B" w:rsidRPr="00A172CC" w:rsidRDefault="004D7B9B" w:rsidP="00FF7003"/>
        </w:tc>
        <w:tc>
          <w:tcPr>
            <w:tcW w:w="305" w:type="pct"/>
          </w:tcPr>
          <w:p w14:paraId="19E85F2B" w14:textId="6AFA1234" w:rsidR="004D7B9B" w:rsidRPr="00A172CC" w:rsidRDefault="004D7B9B" w:rsidP="00FF7003">
            <w:r w:rsidRPr="00A172CC">
              <w:t>1</w:t>
            </w:r>
          </w:p>
        </w:tc>
        <w:tc>
          <w:tcPr>
            <w:tcW w:w="275" w:type="pct"/>
          </w:tcPr>
          <w:p w14:paraId="0297B5F6" w14:textId="77777777" w:rsidR="004D7B9B" w:rsidRPr="00A172CC" w:rsidRDefault="004D7B9B" w:rsidP="00FF7003">
            <w:r w:rsidRPr="00A172CC">
              <w:t>1</w:t>
            </w:r>
          </w:p>
        </w:tc>
        <w:tc>
          <w:tcPr>
            <w:tcW w:w="340" w:type="pct"/>
          </w:tcPr>
          <w:p w14:paraId="112C60D5" w14:textId="77777777" w:rsidR="004D7B9B" w:rsidRPr="00A172CC" w:rsidRDefault="004D7B9B" w:rsidP="00FF7003">
            <w:r w:rsidRPr="00A172CC">
              <w:t>4</w:t>
            </w:r>
          </w:p>
        </w:tc>
        <w:tc>
          <w:tcPr>
            <w:tcW w:w="282" w:type="pct"/>
          </w:tcPr>
          <w:p w14:paraId="6E8B8346" w14:textId="77777777" w:rsidR="004D7B9B" w:rsidRPr="00A172CC" w:rsidRDefault="004D7B9B" w:rsidP="00FF7003">
            <w:r w:rsidRPr="00A172CC">
              <w:t>3</w:t>
            </w:r>
          </w:p>
        </w:tc>
        <w:tc>
          <w:tcPr>
            <w:tcW w:w="274" w:type="pct"/>
            <w:vAlign w:val="center"/>
          </w:tcPr>
          <w:p w14:paraId="7938189A" w14:textId="77777777" w:rsidR="004D7B9B" w:rsidRPr="00A172CC" w:rsidRDefault="004D7B9B" w:rsidP="00FF7003">
            <w:r w:rsidRPr="00A172CC">
              <w:t>1</w:t>
            </w:r>
          </w:p>
        </w:tc>
        <w:tc>
          <w:tcPr>
            <w:tcW w:w="275" w:type="pct"/>
            <w:vAlign w:val="center"/>
          </w:tcPr>
          <w:p w14:paraId="7814B5AB" w14:textId="77777777" w:rsidR="004D7B9B" w:rsidRPr="00A172CC" w:rsidRDefault="004D7B9B" w:rsidP="00FF7003">
            <w:r w:rsidRPr="00A172CC">
              <w:t>1</w:t>
            </w:r>
          </w:p>
        </w:tc>
        <w:tc>
          <w:tcPr>
            <w:tcW w:w="332" w:type="pct"/>
            <w:vAlign w:val="center"/>
          </w:tcPr>
          <w:p w14:paraId="4D8A4659" w14:textId="77777777" w:rsidR="004D7B9B" w:rsidRPr="00A172CC" w:rsidRDefault="004D7B9B" w:rsidP="00FF7003"/>
        </w:tc>
        <w:tc>
          <w:tcPr>
            <w:tcW w:w="277" w:type="pct"/>
            <w:vAlign w:val="center"/>
          </w:tcPr>
          <w:p w14:paraId="4CB9AD75" w14:textId="77777777" w:rsidR="004D7B9B" w:rsidRPr="00A172CC" w:rsidRDefault="004D7B9B" w:rsidP="00FF7003"/>
        </w:tc>
        <w:tc>
          <w:tcPr>
            <w:tcW w:w="274" w:type="pct"/>
            <w:vAlign w:val="center"/>
          </w:tcPr>
          <w:p w14:paraId="0A403547" w14:textId="77777777" w:rsidR="004D7B9B" w:rsidRPr="00A172CC" w:rsidRDefault="004D7B9B" w:rsidP="00FF7003">
            <w:r w:rsidRPr="00A172CC">
              <w:t>2</w:t>
            </w:r>
          </w:p>
        </w:tc>
        <w:tc>
          <w:tcPr>
            <w:tcW w:w="274" w:type="pct"/>
            <w:vAlign w:val="center"/>
          </w:tcPr>
          <w:p w14:paraId="5C489B1D" w14:textId="77777777" w:rsidR="004D7B9B" w:rsidRPr="00A172CC" w:rsidRDefault="004D7B9B" w:rsidP="00FF7003">
            <w:r w:rsidRPr="00A172CC">
              <w:t>2</w:t>
            </w:r>
          </w:p>
        </w:tc>
        <w:tc>
          <w:tcPr>
            <w:tcW w:w="342" w:type="pct"/>
            <w:vAlign w:val="center"/>
          </w:tcPr>
          <w:p w14:paraId="68739BD2" w14:textId="77777777" w:rsidR="004D7B9B" w:rsidRPr="00A172CC" w:rsidRDefault="004D7B9B" w:rsidP="00FF7003">
            <w:r w:rsidRPr="00A172CC">
              <w:t>4</w:t>
            </w:r>
          </w:p>
        </w:tc>
        <w:tc>
          <w:tcPr>
            <w:tcW w:w="268" w:type="pct"/>
            <w:vAlign w:val="center"/>
          </w:tcPr>
          <w:p w14:paraId="362DC3E5" w14:textId="77777777" w:rsidR="004D7B9B" w:rsidRPr="00A172CC" w:rsidRDefault="004D7B9B" w:rsidP="00FF7003">
            <w:r w:rsidRPr="00A172CC">
              <w:t>3</w:t>
            </w:r>
          </w:p>
        </w:tc>
      </w:tr>
      <w:tr w:rsidR="00113B33" w:rsidRPr="00A172CC" w14:paraId="23F81615" w14:textId="77777777" w:rsidTr="00113B33">
        <w:trPr>
          <w:trHeight w:hRule="exact" w:val="440"/>
        </w:trPr>
        <w:tc>
          <w:tcPr>
            <w:tcW w:w="353" w:type="pct"/>
            <w:vAlign w:val="center"/>
          </w:tcPr>
          <w:p w14:paraId="20F3DC23" w14:textId="77777777" w:rsidR="004D7B9B" w:rsidRPr="00A172CC" w:rsidRDefault="004D7B9B" w:rsidP="00FF7003">
            <w:r w:rsidRPr="00A172CC">
              <w:t>III</w:t>
            </w:r>
          </w:p>
        </w:tc>
        <w:tc>
          <w:tcPr>
            <w:tcW w:w="272" w:type="pct"/>
          </w:tcPr>
          <w:p w14:paraId="629964DD" w14:textId="77777777" w:rsidR="004D7B9B" w:rsidRPr="00A172CC" w:rsidRDefault="004D7B9B" w:rsidP="00FF7003"/>
        </w:tc>
        <w:tc>
          <w:tcPr>
            <w:tcW w:w="273" w:type="pct"/>
          </w:tcPr>
          <w:p w14:paraId="31BF5EA2" w14:textId="77777777" w:rsidR="004D7B9B" w:rsidRPr="00A172CC" w:rsidRDefault="004D7B9B" w:rsidP="00FF7003"/>
        </w:tc>
        <w:tc>
          <w:tcPr>
            <w:tcW w:w="341" w:type="pct"/>
          </w:tcPr>
          <w:p w14:paraId="159E395B" w14:textId="77777777" w:rsidR="004D7B9B" w:rsidRPr="00A172CC" w:rsidRDefault="004D7B9B" w:rsidP="00FF7003"/>
        </w:tc>
        <w:tc>
          <w:tcPr>
            <w:tcW w:w="243" w:type="pct"/>
          </w:tcPr>
          <w:p w14:paraId="78187D30" w14:textId="561E4712" w:rsidR="004D7B9B" w:rsidRPr="00A172CC" w:rsidRDefault="004D7B9B" w:rsidP="00FF7003"/>
        </w:tc>
        <w:tc>
          <w:tcPr>
            <w:tcW w:w="305" w:type="pct"/>
          </w:tcPr>
          <w:p w14:paraId="4651006F" w14:textId="131A6EC7" w:rsidR="004D7B9B" w:rsidRPr="00A172CC" w:rsidRDefault="004D7B9B" w:rsidP="00FF7003"/>
        </w:tc>
        <w:tc>
          <w:tcPr>
            <w:tcW w:w="275" w:type="pct"/>
          </w:tcPr>
          <w:p w14:paraId="2C8A745F" w14:textId="77777777" w:rsidR="004D7B9B" w:rsidRPr="00A172CC" w:rsidRDefault="004D7B9B" w:rsidP="00FF7003"/>
        </w:tc>
        <w:tc>
          <w:tcPr>
            <w:tcW w:w="340" w:type="pct"/>
          </w:tcPr>
          <w:p w14:paraId="569F3661" w14:textId="77777777" w:rsidR="004D7B9B" w:rsidRPr="00A172CC" w:rsidRDefault="004D7B9B" w:rsidP="00FF7003"/>
        </w:tc>
        <w:tc>
          <w:tcPr>
            <w:tcW w:w="282" w:type="pct"/>
          </w:tcPr>
          <w:p w14:paraId="34F60739" w14:textId="77777777" w:rsidR="004D7B9B" w:rsidRPr="00A172CC" w:rsidRDefault="004D7B9B" w:rsidP="00FF7003"/>
        </w:tc>
        <w:tc>
          <w:tcPr>
            <w:tcW w:w="274" w:type="pct"/>
            <w:vAlign w:val="center"/>
          </w:tcPr>
          <w:p w14:paraId="5D7FE355" w14:textId="77777777" w:rsidR="004D7B9B" w:rsidRPr="00A172CC" w:rsidRDefault="004D7B9B" w:rsidP="00FF7003"/>
        </w:tc>
        <w:tc>
          <w:tcPr>
            <w:tcW w:w="275" w:type="pct"/>
            <w:vAlign w:val="center"/>
          </w:tcPr>
          <w:p w14:paraId="0E41149D" w14:textId="77777777" w:rsidR="004D7B9B" w:rsidRPr="00A172CC" w:rsidRDefault="004D7B9B" w:rsidP="00FF7003"/>
        </w:tc>
        <w:tc>
          <w:tcPr>
            <w:tcW w:w="332" w:type="pct"/>
            <w:vAlign w:val="center"/>
          </w:tcPr>
          <w:p w14:paraId="71C0919D" w14:textId="77777777" w:rsidR="004D7B9B" w:rsidRPr="00A172CC" w:rsidRDefault="004D7B9B" w:rsidP="00FF7003"/>
        </w:tc>
        <w:tc>
          <w:tcPr>
            <w:tcW w:w="277" w:type="pct"/>
            <w:vAlign w:val="center"/>
          </w:tcPr>
          <w:p w14:paraId="039F384A" w14:textId="77777777" w:rsidR="004D7B9B" w:rsidRPr="00A172CC" w:rsidRDefault="004D7B9B" w:rsidP="00FF7003"/>
        </w:tc>
        <w:tc>
          <w:tcPr>
            <w:tcW w:w="274" w:type="pct"/>
            <w:vAlign w:val="center"/>
          </w:tcPr>
          <w:p w14:paraId="0E3F12ED" w14:textId="77777777" w:rsidR="004D7B9B" w:rsidRPr="00A172CC" w:rsidRDefault="004D7B9B" w:rsidP="00FF7003"/>
        </w:tc>
        <w:tc>
          <w:tcPr>
            <w:tcW w:w="274" w:type="pct"/>
            <w:vAlign w:val="center"/>
          </w:tcPr>
          <w:p w14:paraId="24C5CFBD" w14:textId="77777777" w:rsidR="004D7B9B" w:rsidRPr="00A172CC" w:rsidRDefault="004D7B9B" w:rsidP="00FF7003"/>
        </w:tc>
        <w:tc>
          <w:tcPr>
            <w:tcW w:w="342" w:type="pct"/>
            <w:vAlign w:val="center"/>
          </w:tcPr>
          <w:p w14:paraId="53BF3DA1" w14:textId="77777777" w:rsidR="004D7B9B" w:rsidRPr="00A172CC" w:rsidRDefault="004D7B9B" w:rsidP="00FF7003"/>
        </w:tc>
        <w:tc>
          <w:tcPr>
            <w:tcW w:w="268" w:type="pct"/>
            <w:vAlign w:val="center"/>
          </w:tcPr>
          <w:p w14:paraId="6AAC3DA0" w14:textId="77777777" w:rsidR="004D7B9B" w:rsidRPr="00A172CC" w:rsidRDefault="004D7B9B" w:rsidP="00FF7003"/>
        </w:tc>
      </w:tr>
      <w:tr w:rsidR="00113B33" w:rsidRPr="00A172CC" w14:paraId="5834BBEA" w14:textId="77777777" w:rsidTr="00113B33">
        <w:trPr>
          <w:trHeight w:hRule="exact" w:val="440"/>
        </w:trPr>
        <w:tc>
          <w:tcPr>
            <w:tcW w:w="353" w:type="pct"/>
            <w:vAlign w:val="center"/>
          </w:tcPr>
          <w:p w14:paraId="7F73F167" w14:textId="77777777" w:rsidR="004D7B9B" w:rsidRPr="00A172CC" w:rsidRDefault="004D7B9B" w:rsidP="00FF7003">
            <w:r w:rsidRPr="00A172CC">
              <w:t>Pass</w:t>
            </w:r>
          </w:p>
        </w:tc>
        <w:tc>
          <w:tcPr>
            <w:tcW w:w="272" w:type="pct"/>
          </w:tcPr>
          <w:p w14:paraId="168B743E" w14:textId="77777777" w:rsidR="004D7B9B" w:rsidRPr="00A172CC" w:rsidRDefault="004D7B9B" w:rsidP="00FF7003"/>
        </w:tc>
        <w:tc>
          <w:tcPr>
            <w:tcW w:w="273" w:type="pct"/>
          </w:tcPr>
          <w:p w14:paraId="7EF733FA" w14:textId="77777777" w:rsidR="004D7B9B" w:rsidRPr="00A172CC" w:rsidRDefault="004D7B9B" w:rsidP="00FF7003"/>
        </w:tc>
        <w:tc>
          <w:tcPr>
            <w:tcW w:w="341" w:type="pct"/>
          </w:tcPr>
          <w:p w14:paraId="6C920CA2" w14:textId="77777777" w:rsidR="004D7B9B" w:rsidRPr="00A172CC" w:rsidRDefault="004D7B9B" w:rsidP="00FF7003"/>
        </w:tc>
        <w:tc>
          <w:tcPr>
            <w:tcW w:w="243" w:type="pct"/>
          </w:tcPr>
          <w:p w14:paraId="14A3078D" w14:textId="3147476A" w:rsidR="004D7B9B" w:rsidRPr="00A172CC" w:rsidRDefault="004D7B9B" w:rsidP="00FF7003"/>
        </w:tc>
        <w:tc>
          <w:tcPr>
            <w:tcW w:w="305" w:type="pct"/>
          </w:tcPr>
          <w:p w14:paraId="1E00EB17" w14:textId="5E87A3C8" w:rsidR="004D7B9B" w:rsidRPr="00A172CC" w:rsidRDefault="004D7B9B" w:rsidP="00FF7003"/>
        </w:tc>
        <w:tc>
          <w:tcPr>
            <w:tcW w:w="275" w:type="pct"/>
          </w:tcPr>
          <w:p w14:paraId="24478FC6" w14:textId="77777777" w:rsidR="004D7B9B" w:rsidRPr="00A172CC" w:rsidRDefault="004D7B9B" w:rsidP="00FF7003"/>
        </w:tc>
        <w:tc>
          <w:tcPr>
            <w:tcW w:w="340" w:type="pct"/>
          </w:tcPr>
          <w:p w14:paraId="68635E2B" w14:textId="77777777" w:rsidR="004D7B9B" w:rsidRPr="00A172CC" w:rsidRDefault="004D7B9B" w:rsidP="00FF7003"/>
        </w:tc>
        <w:tc>
          <w:tcPr>
            <w:tcW w:w="282" w:type="pct"/>
          </w:tcPr>
          <w:p w14:paraId="47207D26" w14:textId="77777777" w:rsidR="004D7B9B" w:rsidRPr="00A172CC" w:rsidRDefault="004D7B9B" w:rsidP="00FF7003"/>
        </w:tc>
        <w:tc>
          <w:tcPr>
            <w:tcW w:w="274" w:type="pct"/>
            <w:vAlign w:val="center"/>
          </w:tcPr>
          <w:p w14:paraId="446DF95D" w14:textId="77777777" w:rsidR="004D7B9B" w:rsidRPr="00A172CC" w:rsidRDefault="004D7B9B" w:rsidP="00FF7003">
            <w:r w:rsidRPr="00A172CC">
              <w:t>1</w:t>
            </w:r>
          </w:p>
        </w:tc>
        <w:tc>
          <w:tcPr>
            <w:tcW w:w="275" w:type="pct"/>
            <w:vAlign w:val="center"/>
          </w:tcPr>
          <w:p w14:paraId="4A044777" w14:textId="77777777" w:rsidR="004D7B9B" w:rsidRPr="00A172CC" w:rsidRDefault="004D7B9B" w:rsidP="00FF7003">
            <w:r w:rsidRPr="00A172CC">
              <w:t>1</w:t>
            </w:r>
          </w:p>
        </w:tc>
        <w:tc>
          <w:tcPr>
            <w:tcW w:w="332" w:type="pct"/>
            <w:vAlign w:val="center"/>
          </w:tcPr>
          <w:p w14:paraId="2136828A" w14:textId="77777777" w:rsidR="004D7B9B" w:rsidRPr="00A172CC" w:rsidRDefault="004D7B9B" w:rsidP="00FF7003">
            <w:r w:rsidRPr="00A172CC">
              <w:t>1</w:t>
            </w:r>
          </w:p>
        </w:tc>
        <w:tc>
          <w:tcPr>
            <w:tcW w:w="277" w:type="pct"/>
            <w:vAlign w:val="center"/>
          </w:tcPr>
          <w:p w14:paraId="433AA799" w14:textId="77777777" w:rsidR="004D7B9B" w:rsidRPr="00A172CC" w:rsidRDefault="004D7B9B" w:rsidP="00FF7003">
            <w:r w:rsidRPr="00A172CC">
              <w:t>1</w:t>
            </w:r>
          </w:p>
        </w:tc>
        <w:tc>
          <w:tcPr>
            <w:tcW w:w="274" w:type="pct"/>
            <w:vAlign w:val="center"/>
          </w:tcPr>
          <w:p w14:paraId="3C3C6CA7" w14:textId="77777777" w:rsidR="004D7B9B" w:rsidRPr="00A172CC" w:rsidRDefault="004D7B9B" w:rsidP="00FF7003"/>
        </w:tc>
        <w:tc>
          <w:tcPr>
            <w:tcW w:w="274" w:type="pct"/>
            <w:vAlign w:val="center"/>
          </w:tcPr>
          <w:p w14:paraId="752114DD" w14:textId="77777777" w:rsidR="004D7B9B" w:rsidRPr="00A172CC" w:rsidRDefault="004D7B9B" w:rsidP="00FF7003"/>
        </w:tc>
        <w:tc>
          <w:tcPr>
            <w:tcW w:w="342" w:type="pct"/>
            <w:vAlign w:val="center"/>
          </w:tcPr>
          <w:p w14:paraId="112A4618" w14:textId="77777777" w:rsidR="004D7B9B" w:rsidRPr="00A172CC" w:rsidRDefault="004D7B9B" w:rsidP="00FF7003"/>
        </w:tc>
        <w:tc>
          <w:tcPr>
            <w:tcW w:w="268" w:type="pct"/>
            <w:vAlign w:val="center"/>
          </w:tcPr>
          <w:p w14:paraId="1DCFB819" w14:textId="77777777" w:rsidR="004D7B9B" w:rsidRPr="00A172CC" w:rsidRDefault="004D7B9B" w:rsidP="00FF7003"/>
        </w:tc>
      </w:tr>
      <w:tr w:rsidR="00113B33" w:rsidRPr="00A172CC" w14:paraId="277701F8" w14:textId="77777777" w:rsidTr="00113B33">
        <w:trPr>
          <w:trHeight w:hRule="exact" w:val="440"/>
        </w:trPr>
        <w:tc>
          <w:tcPr>
            <w:tcW w:w="353" w:type="pct"/>
            <w:vAlign w:val="center"/>
          </w:tcPr>
          <w:p w14:paraId="7A19D2CD" w14:textId="77777777" w:rsidR="004D7B9B" w:rsidRPr="00A172CC" w:rsidRDefault="004D7B9B" w:rsidP="00FF7003">
            <w:r w:rsidRPr="00A172CC">
              <w:t>Fail</w:t>
            </w:r>
          </w:p>
        </w:tc>
        <w:tc>
          <w:tcPr>
            <w:tcW w:w="272" w:type="pct"/>
          </w:tcPr>
          <w:p w14:paraId="7F8CAE3D" w14:textId="77777777" w:rsidR="004D7B9B" w:rsidRPr="00A172CC" w:rsidRDefault="004D7B9B" w:rsidP="00FF7003"/>
        </w:tc>
        <w:tc>
          <w:tcPr>
            <w:tcW w:w="273" w:type="pct"/>
          </w:tcPr>
          <w:p w14:paraId="5305678D" w14:textId="77777777" w:rsidR="004D7B9B" w:rsidRPr="00A172CC" w:rsidRDefault="004D7B9B" w:rsidP="00FF7003"/>
        </w:tc>
        <w:tc>
          <w:tcPr>
            <w:tcW w:w="341" w:type="pct"/>
          </w:tcPr>
          <w:p w14:paraId="11625CC6" w14:textId="77777777" w:rsidR="004D7B9B" w:rsidRPr="00A172CC" w:rsidRDefault="004D7B9B" w:rsidP="00FF7003"/>
        </w:tc>
        <w:tc>
          <w:tcPr>
            <w:tcW w:w="243" w:type="pct"/>
          </w:tcPr>
          <w:p w14:paraId="4574036E" w14:textId="7B9789C1" w:rsidR="004D7B9B" w:rsidRPr="00A172CC" w:rsidRDefault="004D7B9B" w:rsidP="00FF7003"/>
        </w:tc>
        <w:tc>
          <w:tcPr>
            <w:tcW w:w="305" w:type="pct"/>
          </w:tcPr>
          <w:p w14:paraId="4BB8F7A9" w14:textId="4D65622C" w:rsidR="004D7B9B" w:rsidRPr="00A172CC" w:rsidRDefault="004D7B9B" w:rsidP="00FF7003">
            <w:r w:rsidRPr="00A172CC">
              <w:t>1</w:t>
            </w:r>
          </w:p>
        </w:tc>
        <w:tc>
          <w:tcPr>
            <w:tcW w:w="275" w:type="pct"/>
          </w:tcPr>
          <w:p w14:paraId="1201EB89" w14:textId="77777777" w:rsidR="004D7B9B" w:rsidRPr="00A172CC" w:rsidRDefault="004D7B9B" w:rsidP="00FF7003">
            <w:r w:rsidRPr="00A172CC">
              <w:t>1</w:t>
            </w:r>
          </w:p>
        </w:tc>
        <w:tc>
          <w:tcPr>
            <w:tcW w:w="340" w:type="pct"/>
          </w:tcPr>
          <w:p w14:paraId="6EB591C7" w14:textId="77777777" w:rsidR="004D7B9B" w:rsidRPr="00A172CC" w:rsidRDefault="004D7B9B" w:rsidP="00FF7003">
            <w:r w:rsidRPr="00A172CC">
              <w:t>1</w:t>
            </w:r>
          </w:p>
        </w:tc>
        <w:tc>
          <w:tcPr>
            <w:tcW w:w="282" w:type="pct"/>
          </w:tcPr>
          <w:p w14:paraId="46A6632C" w14:textId="77777777" w:rsidR="004D7B9B" w:rsidRPr="00A172CC" w:rsidRDefault="004D7B9B" w:rsidP="00FF7003">
            <w:r w:rsidRPr="00A172CC">
              <w:t>1</w:t>
            </w:r>
          </w:p>
        </w:tc>
        <w:tc>
          <w:tcPr>
            <w:tcW w:w="274" w:type="pct"/>
            <w:vAlign w:val="center"/>
          </w:tcPr>
          <w:p w14:paraId="78376DC4" w14:textId="77777777" w:rsidR="004D7B9B" w:rsidRPr="00A172CC" w:rsidRDefault="004D7B9B" w:rsidP="00FF7003"/>
        </w:tc>
        <w:tc>
          <w:tcPr>
            <w:tcW w:w="275" w:type="pct"/>
            <w:vAlign w:val="center"/>
          </w:tcPr>
          <w:p w14:paraId="017AEFCB" w14:textId="77777777" w:rsidR="004D7B9B" w:rsidRPr="00A172CC" w:rsidRDefault="004D7B9B" w:rsidP="00FF7003"/>
        </w:tc>
        <w:tc>
          <w:tcPr>
            <w:tcW w:w="332" w:type="pct"/>
            <w:vAlign w:val="center"/>
          </w:tcPr>
          <w:p w14:paraId="644DEE53" w14:textId="77777777" w:rsidR="004D7B9B" w:rsidRPr="00A172CC" w:rsidRDefault="004D7B9B" w:rsidP="00FF7003"/>
        </w:tc>
        <w:tc>
          <w:tcPr>
            <w:tcW w:w="277" w:type="pct"/>
            <w:vAlign w:val="center"/>
          </w:tcPr>
          <w:p w14:paraId="1CBCCD1C" w14:textId="77777777" w:rsidR="004D7B9B" w:rsidRPr="00A172CC" w:rsidRDefault="004D7B9B" w:rsidP="00FF7003"/>
        </w:tc>
        <w:tc>
          <w:tcPr>
            <w:tcW w:w="274" w:type="pct"/>
            <w:vAlign w:val="center"/>
          </w:tcPr>
          <w:p w14:paraId="121559C8" w14:textId="77777777" w:rsidR="004D7B9B" w:rsidRPr="00A172CC" w:rsidRDefault="004D7B9B" w:rsidP="00FF7003"/>
        </w:tc>
        <w:tc>
          <w:tcPr>
            <w:tcW w:w="274" w:type="pct"/>
            <w:vAlign w:val="center"/>
          </w:tcPr>
          <w:p w14:paraId="58220062" w14:textId="77777777" w:rsidR="004D7B9B" w:rsidRPr="00A172CC" w:rsidRDefault="004D7B9B" w:rsidP="00FF7003"/>
        </w:tc>
        <w:tc>
          <w:tcPr>
            <w:tcW w:w="342" w:type="pct"/>
            <w:vAlign w:val="center"/>
          </w:tcPr>
          <w:p w14:paraId="2B758851" w14:textId="77777777" w:rsidR="004D7B9B" w:rsidRPr="00A172CC" w:rsidRDefault="004D7B9B" w:rsidP="00FF7003"/>
        </w:tc>
        <w:tc>
          <w:tcPr>
            <w:tcW w:w="268" w:type="pct"/>
            <w:vAlign w:val="center"/>
          </w:tcPr>
          <w:p w14:paraId="56FB67A9" w14:textId="77777777" w:rsidR="004D7B9B" w:rsidRPr="00A172CC" w:rsidRDefault="004D7B9B" w:rsidP="00FF7003"/>
        </w:tc>
      </w:tr>
      <w:tr w:rsidR="00113B33" w:rsidRPr="00A172CC" w14:paraId="36C0A199" w14:textId="77777777" w:rsidTr="00113B33">
        <w:trPr>
          <w:trHeight w:hRule="exact" w:val="440"/>
        </w:trPr>
        <w:tc>
          <w:tcPr>
            <w:tcW w:w="353" w:type="pct"/>
            <w:vAlign w:val="center"/>
          </w:tcPr>
          <w:p w14:paraId="1B933C4C" w14:textId="77777777" w:rsidR="004D7B9B" w:rsidRPr="00A172CC" w:rsidRDefault="004D7B9B" w:rsidP="00FF7003">
            <w:r w:rsidRPr="00A172CC">
              <w:t>Total</w:t>
            </w:r>
          </w:p>
        </w:tc>
        <w:tc>
          <w:tcPr>
            <w:tcW w:w="272" w:type="pct"/>
          </w:tcPr>
          <w:p w14:paraId="799EECCD" w14:textId="573519BE" w:rsidR="004D7B9B" w:rsidRPr="00A172CC" w:rsidRDefault="00113B33" w:rsidP="00FF7003">
            <w:r>
              <w:t>84</w:t>
            </w:r>
          </w:p>
        </w:tc>
        <w:tc>
          <w:tcPr>
            <w:tcW w:w="273" w:type="pct"/>
          </w:tcPr>
          <w:p w14:paraId="60EF79FE" w14:textId="77777777" w:rsidR="004D7B9B" w:rsidRPr="00A172CC" w:rsidRDefault="004D7B9B" w:rsidP="00FF7003"/>
        </w:tc>
        <w:tc>
          <w:tcPr>
            <w:tcW w:w="341" w:type="pct"/>
          </w:tcPr>
          <w:p w14:paraId="5E27F97C" w14:textId="2D4A825B" w:rsidR="004D7B9B" w:rsidRPr="00A172CC" w:rsidRDefault="00113B33" w:rsidP="00FF7003">
            <w:r>
              <w:t>115</w:t>
            </w:r>
          </w:p>
        </w:tc>
        <w:tc>
          <w:tcPr>
            <w:tcW w:w="243" w:type="pct"/>
          </w:tcPr>
          <w:p w14:paraId="3D4B48CA" w14:textId="15BFC96C" w:rsidR="004D7B9B" w:rsidRPr="00A172CC" w:rsidRDefault="004D7B9B" w:rsidP="00FF7003"/>
        </w:tc>
        <w:tc>
          <w:tcPr>
            <w:tcW w:w="305" w:type="pct"/>
          </w:tcPr>
          <w:p w14:paraId="7A7CE1BC" w14:textId="0EB47DD0" w:rsidR="004D7B9B" w:rsidRPr="00A172CC" w:rsidRDefault="004D7B9B" w:rsidP="00FF7003">
            <w:r w:rsidRPr="00A172CC">
              <w:t>102</w:t>
            </w:r>
          </w:p>
        </w:tc>
        <w:tc>
          <w:tcPr>
            <w:tcW w:w="275" w:type="pct"/>
          </w:tcPr>
          <w:p w14:paraId="23ECD6FE" w14:textId="77777777" w:rsidR="004D7B9B" w:rsidRPr="00A172CC" w:rsidRDefault="004D7B9B" w:rsidP="00FF7003"/>
        </w:tc>
        <w:tc>
          <w:tcPr>
            <w:tcW w:w="340" w:type="pct"/>
          </w:tcPr>
          <w:p w14:paraId="5000A51D" w14:textId="77777777" w:rsidR="004D7B9B" w:rsidRPr="00A172CC" w:rsidRDefault="004D7B9B" w:rsidP="00FF7003">
            <w:r w:rsidRPr="00A172CC">
              <w:t>130</w:t>
            </w:r>
          </w:p>
        </w:tc>
        <w:tc>
          <w:tcPr>
            <w:tcW w:w="282" w:type="pct"/>
          </w:tcPr>
          <w:p w14:paraId="43CB3761" w14:textId="77777777" w:rsidR="004D7B9B" w:rsidRPr="00A172CC" w:rsidRDefault="004D7B9B" w:rsidP="00FF7003"/>
        </w:tc>
        <w:tc>
          <w:tcPr>
            <w:tcW w:w="274" w:type="pct"/>
            <w:vAlign w:val="center"/>
          </w:tcPr>
          <w:p w14:paraId="66186904" w14:textId="77777777" w:rsidR="004D7B9B" w:rsidRPr="00A172CC" w:rsidRDefault="004D7B9B" w:rsidP="00FF7003">
            <w:r w:rsidRPr="00A172CC">
              <w:t>93</w:t>
            </w:r>
          </w:p>
        </w:tc>
        <w:tc>
          <w:tcPr>
            <w:tcW w:w="275" w:type="pct"/>
            <w:vAlign w:val="center"/>
          </w:tcPr>
          <w:p w14:paraId="5181A40E" w14:textId="77777777" w:rsidR="004D7B9B" w:rsidRPr="00A172CC" w:rsidRDefault="004D7B9B" w:rsidP="00FF7003"/>
        </w:tc>
        <w:tc>
          <w:tcPr>
            <w:tcW w:w="332" w:type="pct"/>
            <w:vAlign w:val="center"/>
          </w:tcPr>
          <w:p w14:paraId="757F929C" w14:textId="77777777" w:rsidR="004D7B9B" w:rsidRPr="00A172CC" w:rsidRDefault="004D7B9B" w:rsidP="00FF7003">
            <w:r w:rsidRPr="00A172CC">
              <w:t>120</w:t>
            </w:r>
          </w:p>
        </w:tc>
        <w:tc>
          <w:tcPr>
            <w:tcW w:w="277" w:type="pct"/>
            <w:vAlign w:val="center"/>
          </w:tcPr>
          <w:p w14:paraId="3A286F98" w14:textId="77777777" w:rsidR="004D7B9B" w:rsidRPr="00A172CC" w:rsidRDefault="004D7B9B" w:rsidP="00FF7003"/>
        </w:tc>
        <w:tc>
          <w:tcPr>
            <w:tcW w:w="274" w:type="pct"/>
            <w:vAlign w:val="center"/>
          </w:tcPr>
          <w:p w14:paraId="3C4DFD0D" w14:textId="77777777" w:rsidR="004D7B9B" w:rsidRPr="00A172CC" w:rsidRDefault="004D7B9B" w:rsidP="00FF7003">
            <w:r w:rsidRPr="00A172CC">
              <w:t>96</w:t>
            </w:r>
          </w:p>
        </w:tc>
        <w:tc>
          <w:tcPr>
            <w:tcW w:w="274" w:type="pct"/>
            <w:vAlign w:val="center"/>
          </w:tcPr>
          <w:p w14:paraId="16F1A59B" w14:textId="77777777" w:rsidR="004D7B9B" w:rsidRPr="00A172CC" w:rsidRDefault="004D7B9B" w:rsidP="00FF7003"/>
        </w:tc>
        <w:tc>
          <w:tcPr>
            <w:tcW w:w="342" w:type="pct"/>
            <w:vAlign w:val="center"/>
          </w:tcPr>
          <w:p w14:paraId="4F6AE288" w14:textId="77777777" w:rsidR="004D7B9B" w:rsidRPr="00A172CC" w:rsidRDefault="004D7B9B" w:rsidP="00FF7003">
            <w:r w:rsidRPr="00A172CC">
              <w:t>128</w:t>
            </w:r>
          </w:p>
        </w:tc>
        <w:tc>
          <w:tcPr>
            <w:tcW w:w="268" w:type="pct"/>
            <w:vAlign w:val="center"/>
          </w:tcPr>
          <w:p w14:paraId="52815039" w14:textId="77777777" w:rsidR="004D7B9B" w:rsidRPr="00A172CC" w:rsidRDefault="004D7B9B" w:rsidP="00FF7003"/>
        </w:tc>
      </w:tr>
    </w:tbl>
    <w:p w14:paraId="052B426E" w14:textId="7A621D55" w:rsidR="004D7B9B" w:rsidRDefault="004D7B9B" w:rsidP="00131FDC">
      <w:pPr>
        <w:spacing w:after="0"/>
        <w:rPr>
          <w:rStyle w:val="Ref"/>
          <w:rFonts w:eastAsia="Calibri"/>
          <w:color w:val="000000"/>
          <w:szCs w:val="23"/>
        </w:rPr>
      </w:pPr>
    </w:p>
    <w:p w14:paraId="210C41E3" w14:textId="6E486C9E" w:rsidR="00FF42F3" w:rsidRDefault="00FF42F3" w:rsidP="00131FDC">
      <w:pPr>
        <w:spacing w:after="0"/>
        <w:rPr>
          <w:rStyle w:val="Ref"/>
          <w:rFonts w:eastAsia="Calibri"/>
          <w:color w:val="000000"/>
          <w:szCs w:val="23"/>
        </w:rPr>
      </w:pPr>
    </w:p>
    <w:p w14:paraId="577CD024" w14:textId="0F3DA9A1" w:rsidR="00572342" w:rsidRDefault="00572342" w:rsidP="00131FDC">
      <w:pPr>
        <w:spacing w:after="0"/>
        <w:rPr>
          <w:rStyle w:val="Ref"/>
          <w:rFonts w:eastAsia="Calibri"/>
          <w:color w:val="000000"/>
          <w:szCs w:val="23"/>
        </w:rPr>
      </w:pPr>
      <w:r>
        <w:rPr>
          <w:rStyle w:val="Ref"/>
          <w:rFonts w:eastAsia="Calibri"/>
          <w:color w:val="000000"/>
          <w:szCs w:val="23"/>
        </w:rPr>
        <w:t>There has been an increase in the percentage of Class I degrees awarded to both male and female candidate. However, the increase has not be</w:t>
      </w:r>
      <w:r w:rsidR="003169A9">
        <w:rPr>
          <w:rStyle w:val="Ref"/>
          <w:rFonts w:eastAsia="Calibri"/>
          <w:color w:val="000000"/>
          <w:szCs w:val="23"/>
        </w:rPr>
        <w:t>en</w:t>
      </w:r>
      <w:r>
        <w:rPr>
          <w:rStyle w:val="Ref"/>
          <w:rFonts w:eastAsia="Calibri"/>
          <w:color w:val="000000"/>
          <w:szCs w:val="23"/>
        </w:rPr>
        <w:t xml:space="preserve"> </w:t>
      </w:r>
      <w:proofErr w:type="gramStart"/>
      <w:r>
        <w:rPr>
          <w:rStyle w:val="Ref"/>
          <w:rFonts w:eastAsia="Calibri"/>
          <w:color w:val="000000"/>
          <w:szCs w:val="23"/>
        </w:rPr>
        <w:t>proportionate</w:t>
      </w:r>
      <w:proofErr w:type="gramEnd"/>
      <w:r w:rsidR="003169A9">
        <w:rPr>
          <w:rStyle w:val="Ref"/>
          <w:rFonts w:eastAsia="Calibri"/>
          <w:color w:val="000000"/>
          <w:szCs w:val="23"/>
        </w:rPr>
        <w:t>. In 2019 male and female candidates performed equally well, with 18% of each group being awarded a Class I degree. This year male candidates have performed much better, with 43% of their group being awarded a Class I, as compared to 26% from female candidates.</w:t>
      </w:r>
      <w:r w:rsidR="00AE323D">
        <w:rPr>
          <w:rStyle w:val="Ref"/>
          <w:rFonts w:eastAsia="Calibri"/>
          <w:color w:val="000000"/>
          <w:szCs w:val="23"/>
        </w:rPr>
        <w:t xml:space="preserve"> The difference of 17 percentage points is clearly a cause for concern.</w:t>
      </w:r>
    </w:p>
    <w:p w14:paraId="2985A034" w14:textId="065FC662" w:rsidR="003169A9" w:rsidRDefault="003169A9" w:rsidP="00131FDC">
      <w:pPr>
        <w:spacing w:after="0"/>
        <w:rPr>
          <w:rStyle w:val="Ref"/>
          <w:rFonts w:eastAsia="Calibri"/>
          <w:color w:val="000000"/>
          <w:szCs w:val="23"/>
        </w:rPr>
      </w:pPr>
    </w:p>
    <w:p w14:paraId="7A6E0FB6" w14:textId="367925B0" w:rsidR="003169A9" w:rsidRDefault="003169A9" w:rsidP="00131FDC">
      <w:pPr>
        <w:spacing w:after="0"/>
        <w:rPr>
          <w:rStyle w:val="Ref"/>
          <w:rFonts w:eastAsia="Calibri"/>
          <w:color w:val="000000"/>
          <w:szCs w:val="23"/>
        </w:rPr>
      </w:pPr>
      <w:r>
        <w:rPr>
          <w:rStyle w:val="Ref"/>
          <w:rFonts w:eastAsia="Calibri"/>
          <w:color w:val="000000"/>
          <w:szCs w:val="23"/>
        </w:rPr>
        <w:t>It should be noted that the results in 2019 did reflect a change in the trends shown in the previous years. In 2017 and 2018 the gap in the proportion of Class I results awarded to male and female candidates was between 11-12</w:t>
      </w:r>
      <w:r w:rsidR="00AE323D">
        <w:rPr>
          <w:rStyle w:val="Ref"/>
          <w:rFonts w:eastAsia="Calibri"/>
          <w:color w:val="000000"/>
          <w:szCs w:val="23"/>
        </w:rPr>
        <w:t xml:space="preserve"> percentage points</w:t>
      </w:r>
      <w:r>
        <w:rPr>
          <w:rStyle w:val="Ref"/>
          <w:rFonts w:eastAsia="Calibri"/>
          <w:color w:val="000000"/>
          <w:szCs w:val="23"/>
        </w:rPr>
        <w:t xml:space="preserve">. This more closely reflects the gap </w:t>
      </w:r>
      <w:r w:rsidR="00AE323D">
        <w:rPr>
          <w:rStyle w:val="Ref"/>
          <w:rFonts w:eastAsia="Calibri"/>
          <w:color w:val="000000"/>
          <w:szCs w:val="23"/>
        </w:rPr>
        <w:t xml:space="preserve">between male and female candidates in 2020, although </w:t>
      </w:r>
      <w:r w:rsidR="009F476E">
        <w:rPr>
          <w:rStyle w:val="Ref"/>
          <w:rFonts w:eastAsia="Calibri"/>
          <w:color w:val="000000"/>
          <w:szCs w:val="23"/>
        </w:rPr>
        <w:t>the difference (17 percentage points)</w:t>
      </w:r>
      <w:r w:rsidR="00AE323D">
        <w:rPr>
          <w:rStyle w:val="Ref"/>
          <w:rFonts w:eastAsia="Calibri"/>
          <w:color w:val="000000"/>
          <w:szCs w:val="23"/>
        </w:rPr>
        <w:t xml:space="preserve"> is more marked this year.  </w:t>
      </w:r>
    </w:p>
    <w:p w14:paraId="2D4BD6C4" w14:textId="77777777" w:rsidR="00572342" w:rsidRDefault="00572342" w:rsidP="00131FDC">
      <w:pPr>
        <w:spacing w:after="0"/>
        <w:rPr>
          <w:rStyle w:val="Ref"/>
          <w:rFonts w:eastAsia="Calibri"/>
          <w:color w:val="000000"/>
          <w:szCs w:val="23"/>
        </w:rPr>
      </w:pPr>
    </w:p>
    <w:p w14:paraId="2BD66419" w14:textId="77777777" w:rsidR="00131FDC" w:rsidRPr="004256D6" w:rsidRDefault="00131FDC" w:rsidP="00131FDC">
      <w:pPr>
        <w:spacing w:after="0"/>
        <w:rPr>
          <w:rStyle w:val="Ref"/>
          <w:rFonts w:eastAsia="Calibri"/>
          <w:b/>
          <w:bCs/>
          <w:caps/>
          <w:color w:val="000000"/>
          <w:szCs w:val="23"/>
        </w:rPr>
      </w:pPr>
    </w:p>
    <w:p w14:paraId="32D0CF5C" w14:textId="77777777" w:rsidR="00131FDC" w:rsidRPr="004256D6" w:rsidRDefault="00131FDC" w:rsidP="00131FDC">
      <w:pPr>
        <w:spacing w:after="0"/>
        <w:rPr>
          <w:rStyle w:val="Ref"/>
          <w:rFonts w:eastAsia="Calibri"/>
          <w:b/>
          <w:bCs/>
          <w:caps/>
          <w:color w:val="000000"/>
          <w:szCs w:val="23"/>
        </w:rPr>
      </w:pPr>
      <w:r w:rsidRPr="004256D6">
        <w:rPr>
          <w:rStyle w:val="Ref"/>
          <w:rFonts w:eastAsia="Calibri"/>
          <w:b/>
          <w:caps/>
          <w:color w:val="000000"/>
          <w:szCs w:val="23"/>
        </w:rPr>
        <w:t>C.</w:t>
      </w:r>
      <w:r w:rsidRPr="004256D6">
        <w:rPr>
          <w:rStyle w:val="Ref"/>
          <w:rFonts w:eastAsia="Calibri"/>
          <w:b/>
          <w:caps/>
          <w:color w:val="000000"/>
          <w:szCs w:val="23"/>
        </w:rPr>
        <w:tab/>
        <w:t>Detailed numbers on candidates’ performance in each part of the examination</w:t>
      </w:r>
    </w:p>
    <w:p w14:paraId="33B1F5A3" w14:textId="77777777" w:rsidR="00E03851" w:rsidRDefault="00E03851" w:rsidP="00E03851"/>
    <w:p w14:paraId="7C684715" w14:textId="405ACB14" w:rsidR="00E03851" w:rsidRPr="00A172CC" w:rsidRDefault="00E03851" w:rsidP="00E03851">
      <w:r w:rsidRPr="00A172CC">
        <w:t xml:space="preserve">Students on the BA programmes take nine papers as part of the FHS examinations. These are made up of seven compulsory papers and two optional papers. Students chose from a list of </w:t>
      </w:r>
      <w:r w:rsidR="006840A3">
        <w:t>23</w:t>
      </w:r>
      <w:r w:rsidRPr="00A172CC">
        <w:t xml:space="preserve"> option papers for this year’s FHS. The distribution of students across the option papers is shown below:</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985"/>
        <w:gridCol w:w="986"/>
        <w:gridCol w:w="986"/>
        <w:gridCol w:w="986"/>
        <w:gridCol w:w="986"/>
      </w:tblGrid>
      <w:tr w:rsidR="00E03851" w:rsidRPr="00A172CC" w14:paraId="6DCFFE1E" w14:textId="77777777" w:rsidTr="00E03851">
        <w:trPr>
          <w:trHeight w:hRule="exact" w:val="357"/>
          <w:tblHeader/>
        </w:trPr>
        <w:tc>
          <w:tcPr>
            <w:tcW w:w="2230" w:type="pct"/>
            <w:tcBorders>
              <w:top w:val="single" w:sz="4" w:space="0" w:color="auto"/>
              <w:left w:val="single" w:sz="4" w:space="0" w:color="auto"/>
              <w:bottom w:val="single" w:sz="4" w:space="0" w:color="auto"/>
            </w:tcBorders>
            <w:vAlign w:val="center"/>
          </w:tcPr>
          <w:p w14:paraId="67734A63" w14:textId="77777777" w:rsidR="00E03851" w:rsidRPr="00A172CC" w:rsidRDefault="00E03851" w:rsidP="00FF7003"/>
        </w:tc>
        <w:tc>
          <w:tcPr>
            <w:tcW w:w="554" w:type="pct"/>
          </w:tcPr>
          <w:p w14:paraId="6FA4FA3B" w14:textId="0FCB6D0C" w:rsidR="00E03851" w:rsidRPr="00A172CC" w:rsidRDefault="00E03851" w:rsidP="00FF7003">
            <w:r>
              <w:t>2020</w:t>
            </w:r>
          </w:p>
        </w:tc>
        <w:tc>
          <w:tcPr>
            <w:tcW w:w="554" w:type="pct"/>
            <w:vAlign w:val="center"/>
          </w:tcPr>
          <w:p w14:paraId="4CF99D7E" w14:textId="16630434" w:rsidR="00E03851" w:rsidRPr="00A172CC" w:rsidRDefault="00E03851" w:rsidP="00FF7003">
            <w:r w:rsidRPr="00A172CC">
              <w:t>2019</w:t>
            </w:r>
          </w:p>
        </w:tc>
        <w:tc>
          <w:tcPr>
            <w:tcW w:w="554" w:type="pct"/>
            <w:vAlign w:val="center"/>
          </w:tcPr>
          <w:p w14:paraId="1F1BC956" w14:textId="77777777" w:rsidR="00E03851" w:rsidRPr="00A172CC" w:rsidRDefault="00E03851" w:rsidP="00FF7003">
            <w:r w:rsidRPr="00A172CC">
              <w:t>2018</w:t>
            </w:r>
          </w:p>
        </w:tc>
        <w:tc>
          <w:tcPr>
            <w:tcW w:w="554" w:type="pct"/>
            <w:vAlign w:val="center"/>
          </w:tcPr>
          <w:p w14:paraId="0807A490" w14:textId="77777777" w:rsidR="00E03851" w:rsidRPr="00A172CC" w:rsidRDefault="00E03851" w:rsidP="00FF7003">
            <w:r w:rsidRPr="00A172CC">
              <w:t>2017</w:t>
            </w:r>
          </w:p>
        </w:tc>
        <w:tc>
          <w:tcPr>
            <w:tcW w:w="554" w:type="pct"/>
            <w:vAlign w:val="center"/>
          </w:tcPr>
          <w:p w14:paraId="2840E442" w14:textId="77777777" w:rsidR="00E03851" w:rsidRPr="00A172CC" w:rsidRDefault="00E03851" w:rsidP="00FF7003">
            <w:r w:rsidRPr="00A172CC">
              <w:t>2016</w:t>
            </w:r>
          </w:p>
        </w:tc>
      </w:tr>
      <w:tr w:rsidR="00E03851" w:rsidRPr="00A172CC" w14:paraId="37E31AF0" w14:textId="77777777" w:rsidTr="00E03851">
        <w:trPr>
          <w:trHeight w:hRule="exact" w:val="357"/>
          <w:tblHeader/>
        </w:trPr>
        <w:tc>
          <w:tcPr>
            <w:tcW w:w="2230" w:type="pct"/>
            <w:tcBorders>
              <w:top w:val="single" w:sz="4" w:space="0" w:color="auto"/>
              <w:left w:val="single" w:sz="4" w:space="0" w:color="auto"/>
            </w:tcBorders>
            <w:vAlign w:val="center"/>
          </w:tcPr>
          <w:p w14:paraId="5F54BD75" w14:textId="77777777" w:rsidR="00E03851" w:rsidRPr="00A172CC" w:rsidRDefault="00E03851" w:rsidP="00FF7003">
            <w:r w:rsidRPr="00A172CC">
              <w:t>Advanced Criminal Law</w:t>
            </w:r>
          </w:p>
        </w:tc>
        <w:tc>
          <w:tcPr>
            <w:tcW w:w="554" w:type="pct"/>
          </w:tcPr>
          <w:p w14:paraId="2A49AD46" w14:textId="4BCC814C" w:rsidR="00E03851" w:rsidRPr="00A172CC" w:rsidRDefault="009D4B8A" w:rsidP="00FF7003">
            <w:r>
              <w:t>25</w:t>
            </w:r>
          </w:p>
        </w:tc>
        <w:tc>
          <w:tcPr>
            <w:tcW w:w="554" w:type="pct"/>
            <w:vAlign w:val="center"/>
          </w:tcPr>
          <w:p w14:paraId="50F51562" w14:textId="2720A43E" w:rsidR="00E03851" w:rsidRPr="00A172CC" w:rsidRDefault="00E03851" w:rsidP="00FF7003">
            <w:r w:rsidRPr="00A172CC">
              <w:t>15</w:t>
            </w:r>
          </w:p>
        </w:tc>
        <w:tc>
          <w:tcPr>
            <w:tcW w:w="554" w:type="pct"/>
            <w:vAlign w:val="center"/>
          </w:tcPr>
          <w:p w14:paraId="65422F4F" w14:textId="77777777" w:rsidR="00E03851" w:rsidRPr="00A172CC" w:rsidRDefault="00E03851" w:rsidP="00FF7003"/>
        </w:tc>
        <w:tc>
          <w:tcPr>
            <w:tcW w:w="554" w:type="pct"/>
            <w:vAlign w:val="center"/>
          </w:tcPr>
          <w:p w14:paraId="371DDA51" w14:textId="77777777" w:rsidR="00E03851" w:rsidRPr="00A172CC" w:rsidRDefault="00E03851" w:rsidP="00FF7003"/>
        </w:tc>
        <w:tc>
          <w:tcPr>
            <w:tcW w:w="554" w:type="pct"/>
            <w:vAlign w:val="center"/>
          </w:tcPr>
          <w:p w14:paraId="0F4D2F7E" w14:textId="77777777" w:rsidR="00E03851" w:rsidRPr="00A172CC" w:rsidRDefault="00E03851" w:rsidP="00FF7003"/>
        </w:tc>
      </w:tr>
      <w:tr w:rsidR="00E03851" w:rsidRPr="00A172CC" w14:paraId="055E2E4F" w14:textId="77777777" w:rsidTr="00E03851">
        <w:trPr>
          <w:trHeight w:hRule="exact" w:val="397"/>
        </w:trPr>
        <w:tc>
          <w:tcPr>
            <w:tcW w:w="2230" w:type="pct"/>
            <w:vAlign w:val="center"/>
          </w:tcPr>
          <w:p w14:paraId="1E8D388A" w14:textId="77777777" w:rsidR="00E03851" w:rsidRPr="00A172CC" w:rsidRDefault="00E03851" w:rsidP="00FF7003">
            <w:r w:rsidRPr="00A172CC">
              <w:t>Civil Dispute Resolution</w:t>
            </w:r>
          </w:p>
        </w:tc>
        <w:tc>
          <w:tcPr>
            <w:tcW w:w="554" w:type="pct"/>
          </w:tcPr>
          <w:p w14:paraId="1480BF14" w14:textId="7F892562" w:rsidR="00E03851" w:rsidRPr="00A172CC" w:rsidRDefault="009D4B8A" w:rsidP="00FF7003">
            <w:r>
              <w:t>4</w:t>
            </w:r>
          </w:p>
        </w:tc>
        <w:tc>
          <w:tcPr>
            <w:tcW w:w="554" w:type="pct"/>
            <w:vAlign w:val="center"/>
          </w:tcPr>
          <w:p w14:paraId="2ABEC752" w14:textId="67892C98" w:rsidR="00E03851" w:rsidRPr="00A172CC" w:rsidRDefault="00E03851" w:rsidP="00FF7003">
            <w:r w:rsidRPr="00A172CC">
              <w:t>5</w:t>
            </w:r>
          </w:p>
        </w:tc>
        <w:tc>
          <w:tcPr>
            <w:tcW w:w="554" w:type="pct"/>
            <w:vAlign w:val="center"/>
          </w:tcPr>
          <w:p w14:paraId="73F16FAD" w14:textId="77777777" w:rsidR="00E03851" w:rsidRPr="00A172CC" w:rsidRDefault="00E03851" w:rsidP="00FF7003">
            <w:r w:rsidRPr="00A172CC">
              <w:t>5</w:t>
            </w:r>
          </w:p>
        </w:tc>
        <w:tc>
          <w:tcPr>
            <w:tcW w:w="554" w:type="pct"/>
            <w:vAlign w:val="center"/>
          </w:tcPr>
          <w:p w14:paraId="1056265A" w14:textId="77777777" w:rsidR="00E03851" w:rsidRPr="00A172CC" w:rsidRDefault="00E03851" w:rsidP="00FF7003"/>
        </w:tc>
        <w:tc>
          <w:tcPr>
            <w:tcW w:w="554" w:type="pct"/>
            <w:vAlign w:val="center"/>
          </w:tcPr>
          <w:p w14:paraId="540A10C1" w14:textId="77777777" w:rsidR="00E03851" w:rsidRPr="00A172CC" w:rsidRDefault="00E03851" w:rsidP="00FF7003"/>
        </w:tc>
      </w:tr>
      <w:tr w:rsidR="00E03851" w:rsidRPr="00A172CC" w14:paraId="3BBBA610" w14:textId="77777777" w:rsidTr="00E03851">
        <w:trPr>
          <w:trHeight w:hRule="exact" w:val="397"/>
        </w:trPr>
        <w:tc>
          <w:tcPr>
            <w:tcW w:w="2230" w:type="pct"/>
            <w:vAlign w:val="center"/>
          </w:tcPr>
          <w:p w14:paraId="092344C0" w14:textId="77777777" w:rsidR="00E03851" w:rsidRPr="00A172CC" w:rsidRDefault="00E03851" w:rsidP="00FF7003">
            <w:r w:rsidRPr="00A172CC">
              <w:t xml:space="preserve">Commercial Law </w:t>
            </w:r>
          </w:p>
        </w:tc>
        <w:tc>
          <w:tcPr>
            <w:tcW w:w="554" w:type="pct"/>
          </w:tcPr>
          <w:p w14:paraId="6CD4BB03" w14:textId="4B6C2C91" w:rsidR="00E03851" w:rsidRPr="00A172CC" w:rsidRDefault="009D4B8A" w:rsidP="00FF7003">
            <w:r>
              <w:t>-</w:t>
            </w:r>
          </w:p>
        </w:tc>
        <w:tc>
          <w:tcPr>
            <w:tcW w:w="554" w:type="pct"/>
            <w:vAlign w:val="center"/>
          </w:tcPr>
          <w:p w14:paraId="29112822" w14:textId="2A2F1F69" w:rsidR="00E03851" w:rsidRPr="00A172CC" w:rsidRDefault="00E03851" w:rsidP="00FF7003">
            <w:r w:rsidRPr="00A172CC">
              <w:t>11</w:t>
            </w:r>
          </w:p>
        </w:tc>
        <w:tc>
          <w:tcPr>
            <w:tcW w:w="554" w:type="pct"/>
            <w:vAlign w:val="center"/>
          </w:tcPr>
          <w:p w14:paraId="123D648A" w14:textId="77777777" w:rsidR="00E03851" w:rsidRPr="00A172CC" w:rsidRDefault="00E03851" w:rsidP="00FF7003">
            <w:r w:rsidRPr="00A172CC">
              <w:t>25</w:t>
            </w:r>
          </w:p>
        </w:tc>
        <w:tc>
          <w:tcPr>
            <w:tcW w:w="554" w:type="pct"/>
            <w:vAlign w:val="center"/>
          </w:tcPr>
          <w:p w14:paraId="5846C0D9" w14:textId="77777777" w:rsidR="00E03851" w:rsidRPr="00A172CC" w:rsidRDefault="00E03851" w:rsidP="00FF7003">
            <w:r w:rsidRPr="00A172CC">
              <w:t>11</w:t>
            </w:r>
          </w:p>
        </w:tc>
        <w:tc>
          <w:tcPr>
            <w:tcW w:w="554" w:type="pct"/>
            <w:vAlign w:val="center"/>
          </w:tcPr>
          <w:p w14:paraId="2D611FF2" w14:textId="77777777" w:rsidR="00E03851" w:rsidRPr="00A172CC" w:rsidRDefault="00E03851" w:rsidP="00FF7003">
            <w:r w:rsidRPr="00A172CC">
              <w:t>17</w:t>
            </w:r>
          </w:p>
        </w:tc>
      </w:tr>
      <w:tr w:rsidR="00E03851" w:rsidRPr="00A172CC" w14:paraId="59FD9F2A" w14:textId="77777777" w:rsidTr="00E03851">
        <w:trPr>
          <w:trHeight w:hRule="exact" w:val="397"/>
        </w:trPr>
        <w:tc>
          <w:tcPr>
            <w:tcW w:w="2230" w:type="pct"/>
            <w:vAlign w:val="center"/>
          </w:tcPr>
          <w:p w14:paraId="28DE8869" w14:textId="77777777" w:rsidR="00E03851" w:rsidRPr="00A172CC" w:rsidRDefault="00E03851" w:rsidP="00FF7003">
            <w:r w:rsidRPr="00A172CC">
              <w:t>Company Law</w:t>
            </w:r>
          </w:p>
        </w:tc>
        <w:tc>
          <w:tcPr>
            <w:tcW w:w="554" w:type="pct"/>
          </w:tcPr>
          <w:p w14:paraId="6F23829E" w14:textId="02D35574" w:rsidR="00E03851" w:rsidRPr="00A172CC" w:rsidRDefault="009D4B8A" w:rsidP="00FF7003">
            <w:r>
              <w:t>12</w:t>
            </w:r>
          </w:p>
        </w:tc>
        <w:tc>
          <w:tcPr>
            <w:tcW w:w="554" w:type="pct"/>
            <w:vAlign w:val="center"/>
          </w:tcPr>
          <w:p w14:paraId="7C23F164" w14:textId="381740F3" w:rsidR="00E03851" w:rsidRPr="00A172CC" w:rsidRDefault="00E03851" w:rsidP="00FF7003">
            <w:r w:rsidRPr="00A172CC">
              <w:t>13</w:t>
            </w:r>
          </w:p>
        </w:tc>
        <w:tc>
          <w:tcPr>
            <w:tcW w:w="554" w:type="pct"/>
            <w:vAlign w:val="center"/>
          </w:tcPr>
          <w:p w14:paraId="09F093F3" w14:textId="77777777" w:rsidR="00E03851" w:rsidRPr="00A172CC" w:rsidRDefault="00E03851" w:rsidP="00FF7003">
            <w:r w:rsidRPr="00A172CC">
              <w:t>2</w:t>
            </w:r>
          </w:p>
        </w:tc>
        <w:tc>
          <w:tcPr>
            <w:tcW w:w="554" w:type="pct"/>
            <w:vAlign w:val="center"/>
          </w:tcPr>
          <w:p w14:paraId="6D688640" w14:textId="77777777" w:rsidR="00E03851" w:rsidRPr="00A172CC" w:rsidRDefault="00E03851" w:rsidP="00FF7003">
            <w:r w:rsidRPr="00A172CC">
              <w:t>20</w:t>
            </w:r>
          </w:p>
        </w:tc>
        <w:tc>
          <w:tcPr>
            <w:tcW w:w="554" w:type="pct"/>
            <w:vAlign w:val="center"/>
          </w:tcPr>
          <w:p w14:paraId="5DF32F32" w14:textId="77777777" w:rsidR="00E03851" w:rsidRPr="00A172CC" w:rsidRDefault="00E03851" w:rsidP="00FF7003">
            <w:r w:rsidRPr="00A172CC">
              <w:t>10</w:t>
            </w:r>
          </w:p>
        </w:tc>
      </w:tr>
      <w:tr w:rsidR="00E03851" w:rsidRPr="00A172CC" w14:paraId="7CD9B0B6" w14:textId="77777777" w:rsidTr="00E03851">
        <w:trPr>
          <w:trHeight w:hRule="exact" w:val="397"/>
        </w:trPr>
        <w:tc>
          <w:tcPr>
            <w:tcW w:w="2230" w:type="pct"/>
            <w:vAlign w:val="center"/>
          </w:tcPr>
          <w:p w14:paraId="71CFFE6C" w14:textId="77777777" w:rsidR="00E03851" w:rsidRPr="00A172CC" w:rsidRDefault="00E03851" w:rsidP="00FF7003">
            <w:r w:rsidRPr="00A172CC">
              <w:t xml:space="preserve">Comparative Private Law </w:t>
            </w:r>
          </w:p>
        </w:tc>
        <w:tc>
          <w:tcPr>
            <w:tcW w:w="554" w:type="pct"/>
          </w:tcPr>
          <w:p w14:paraId="5C2328C4" w14:textId="16320DD1" w:rsidR="00E03851" w:rsidRPr="00A172CC" w:rsidRDefault="009D4B8A" w:rsidP="00FF7003">
            <w:r>
              <w:t>15</w:t>
            </w:r>
          </w:p>
        </w:tc>
        <w:tc>
          <w:tcPr>
            <w:tcW w:w="554" w:type="pct"/>
            <w:vAlign w:val="center"/>
          </w:tcPr>
          <w:p w14:paraId="53607237" w14:textId="4056C728" w:rsidR="00E03851" w:rsidRPr="00A172CC" w:rsidRDefault="00E03851" w:rsidP="00FF7003">
            <w:r w:rsidRPr="00A172CC">
              <w:t>17</w:t>
            </w:r>
          </w:p>
        </w:tc>
        <w:tc>
          <w:tcPr>
            <w:tcW w:w="554" w:type="pct"/>
            <w:vAlign w:val="center"/>
          </w:tcPr>
          <w:p w14:paraId="360A80EC" w14:textId="77777777" w:rsidR="00E03851" w:rsidRPr="00A172CC" w:rsidRDefault="00E03851" w:rsidP="00FF7003">
            <w:r w:rsidRPr="00A172CC">
              <w:t>14</w:t>
            </w:r>
          </w:p>
        </w:tc>
        <w:tc>
          <w:tcPr>
            <w:tcW w:w="554" w:type="pct"/>
            <w:vAlign w:val="center"/>
          </w:tcPr>
          <w:p w14:paraId="4C00A883" w14:textId="77777777" w:rsidR="00E03851" w:rsidRPr="00A172CC" w:rsidRDefault="00E03851" w:rsidP="00FF7003">
            <w:r w:rsidRPr="00A172CC">
              <w:t>11</w:t>
            </w:r>
          </w:p>
        </w:tc>
        <w:tc>
          <w:tcPr>
            <w:tcW w:w="554" w:type="pct"/>
            <w:vAlign w:val="center"/>
          </w:tcPr>
          <w:p w14:paraId="504D8E11" w14:textId="77777777" w:rsidR="00E03851" w:rsidRPr="00A172CC" w:rsidRDefault="00E03851" w:rsidP="00FF7003">
            <w:r w:rsidRPr="00A172CC">
              <w:t>12</w:t>
            </w:r>
          </w:p>
        </w:tc>
      </w:tr>
      <w:tr w:rsidR="00E03851" w:rsidRPr="00A172CC" w14:paraId="342B40F7" w14:textId="77777777" w:rsidTr="00E03851">
        <w:trPr>
          <w:trHeight w:hRule="exact" w:val="397"/>
        </w:trPr>
        <w:tc>
          <w:tcPr>
            <w:tcW w:w="2230" w:type="pct"/>
            <w:vAlign w:val="center"/>
          </w:tcPr>
          <w:p w14:paraId="465D398B" w14:textId="77777777" w:rsidR="00E03851" w:rsidRPr="00A172CC" w:rsidRDefault="00E03851" w:rsidP="00FF7003">
            <w:r w:rsidRPr="00A172CC">
              <w:lastRenderedPageBreak/>
              <w:t xml:space="preserve">Competition Law and Policy </w:t>
            </w:r>
          </w:p>
        </w:tc>
        <w:tc>
          <w:tcPr>
            <w:tcW w:w="554" w:type="pct"/>
          </w:tcPr>
          <w:p w14:paraId="61373D97" w14:textId="163BB36C" w:rsidR="00E03851" w:rsidRPr="00A172CC" w:rsidRDefault="009D4B8A" w:rsidP="00FF7003">
            <w:r>
              <w:t>17</w:t>
            </w:r>
          </w:p>
        </w:tc>
        <w:tc>
          <w:tcPr>
            <w:tcW w:w="554" w:type="pct"/>
            <w:vAlign w:val="center"/>
          </w:tcPr>
          <w:p w14:paraId="0175540E" w14:textId="4BDFBBDF" w:rsidR="00E03851" w:rsidRPr="00A172CC" w:rsidRDefault="00E03851" w:rsidP="00FF7003">
            <w:r w:rsidRPr="00A172CC">
              <w:t>15</w:t>
            </w:r>
          </w:p>
        </w:tc>
        <w:tc>
          <w:tcPr>
            <w:tcW w:w="554" w:type="pct"/>
            <w:vAlign w:val="center"/>
          </w:tcPr>
          <w:p w14:paraId="0D26464D" w14:textId="77777777" w:rsidR="00E03851" w:rsidRPr="00A172CC" w:rsidRDefault="00E03851" w:rsidP="00FF7003">
            <w:r w:rsidRPr="00A172CC">
              <w:t>1</w:t>
            </w:r>
          </w:p>
        </w:tc>
        <w:tc>
          <w:tcPr>
            <w:tcW w:w="554" w:type="pct"/>
            <w:vAlign w:val="center"/>
          </w:tcPr>
          <w:p w14:paraId="1063A7B5" w14:textId="77777777" w:rsidR="00E03851" w:rsidRPr="00A172CC" w:rsidRDefault="00E03851" w:rsidP="00FF7003">
            <w:r w:rsidRPr="00A172CC">
              <w:t>33</w:t>
            </w:r>
          </w:p>
        </w:tc>
        <w:tc>
          <w:tcPr>
            <w:tcW w:w="554" w:type="pct"/>
            <w:vAlign w:val="center"/>
          </w:tcPr>
          <w:p w14:paraId="5A257E6A" w14:textId="77777777" w:rsidR="00E03851" w:rsidRPr="00A172CC" w:rsidRDefault="00E03851" w:rsidP="00FF7003">
            <w:r w:rsidRPr="00A172CC">
              <w:t>28</w:t>
            </w:r>
          </w:p>
        </w:tc>
      </w:tr>
      <w:tr w:rsidR="00E03851" w:rsidRPr="00A172CC" w14:paraId="7C09004D" w14:textId="77777777" w:rsidTr="00E03851">
        <w:trPr>
          <w:trHeight w:hRule="exact" w:val="397"/>
        </w:trPr>
        <w:tc>
          <w:tcPr>
            <w:tcW w:w="2230" w:type="pct"/>
            <w:vAlign w:val="center"/>
          </w:tcPr>
          <w:p w14:paraId="7A680331" w14:textId="77777777" w:rsidR="00E03851" w:rsidRPr="00A172CC" w:rsidRDefault="00E03851" w:rsidP="00FF7003">
            <w:r w:rsidRPr="00A172CC">
              <w:t>Constitutional Law</w:t>
            </w:r>
          </w:p>
        </w:tc>
        <w:tc>
          <w:tcPr>
            <w:tcW w:w="554" w:type="pct"/>
          </w:tcPr>
          <w:p w14:paraId="5CDBFAD3" w14:textId="0B5F04E5" w:rsidR="00E03851" w:rsidRPr="00A172CC" w:rsidRDefault="009D4B8A" w:rsidP="00FF7003">
            <w:r>
              <w:t>5</w:t>
            </w:r>
          </w:p>
        </w:tc>
        <w:tc>
          <w:tcPr>
            <w:tcW w:w="554" w:type="pct"/>
            <w:vAlign w:val="center"/>
          </w:tcPr>
          <w:p w14:paraId="034F693D" w14:textId="1F42B30F" w:rsidR="00E03851" w:rsidRPr="00A172CC" w:rsidRDefault="00E03851" w:rsidP="00FF7003">
            <w:r w:rsidRPr="00A172CC">
              <w:t>9</w:t>
            </w:r>
          </w:p>
        </w:tc>
        <w:tc>
          <w:tcPr>
            <w:tcW w:w="554" w:type="pct"/>
            <w:vAlign w:val="center"/>
          </w:tcPr>
          <w:p w14:paraId="1884F525" w14:textId="77777777" w:rsidR="00E03851" w:rsidRPr="00A172CC" w:rsidRDefault="00E03851" w:rsidP="00FF7003">
            <w:r w:rsidRPr="00A172CC">
              <w:t>6</w:t>
            </w:r>
          </w:p>
        </w:tc>
        <w:tc>
          <w:tcPr>
            <w:tcW w:w="554" w:type="pct"/>
            <w:vAlign w:val="center"/>
          </w:tcPr>
          <w:p w14:paraId="3FBD57D2" w14:textId="77777777" w:rsidR="00E03851" w:rsidRPr="00A172CC" w:rsidRDefault="00E03851" w:rsidP="00FF7003">
            <w:r w:rsidRPr="00A172CC">
              <w:t>9</w:t>
            </w:r>
          </w:p>
        </w:tc>
        <w:tc>
          <w:tcPr>
            <w:tcW w:w="554" w:type="pct"/>
            <w:vAlign w:val="center"/>
          </w:tcPr>
          <w:p w14:paraId="5DDEF9CA" w14:textId="77777777" w:rsidR="00E03851" w:rsidRPr="00A172CC" w:rsidRDefault="00E03851" w:rsidP="00FF7003">
            <w:r w:rsidRPr="00A172CC">
              <w:t>5</w:t>
            </w:r>
          </w:p>
        </w:tc>
      </w:tr>
      <w:tr w:rsidR="00E03851" w:rsidRPr="00A172CC" w14:paraId="30AB1BF9" w14:textId="77777777" w:rsidTr="00E03851">
        <w:trPr>
          <w:trHeight w:hRule="exact" w:val="397"/>
        </w:trPr>
        <w:tc>
          <w:tcPr>
            <w:tcW w:w="2230" w:type="pct"/>
            <w:vAlign w:val="center"/>
          </w:tcPr>
          <w:p w14:paraId="005D9784" w14:textId="77777777" w:rsidR="00E03851" w:rsidRPr="00A172CC" w:rsidRDefault="00E03851" w:rsidP="00FF7003">
            <w:r w:rsidRPr="00A172CC">
              <w:t xml:space="preserve">Copyright, Patents and Allied Rights </w:t>
            </w:r>
          </w:p>
        </w:tc>
        <w:tc>
          <w:tcPr>
            <w:tcW w:w="554" w:type="pct"/>
          </w:tcPr>
          <w:p w14:paraId="6A2FB7A4" w14:textId="574B75E0" w:rsidR="00E03851" w:rsidRPr="00A172CC" w:rsidRDefault="009D4B8A" w:rsidP="00FF7003">
            <w:r>
              <w:t>-</w:t>
            </w:r>
          </w:p>
        </w:tc>
        <w:tc>
          <w:tcPr>
            <w:tcW w:w="554" w:type="pct"/>
            <w:vAlign w:val="center"/>
          </w:tcPr>
          <w:p w14:paraId="218A5B14" w14:textId="7E324937" w:rsidR="00E03851" w:rsidRPr="00A172CC" w:rsidRDefault="00E03851" w:rsidP="00FF7003">
            <w:r w:rsidRPr="00A172CC">
              <w:t>9</w:t>
            </w:r>
          </w:p>
        </w:tc>
        <w:tc>
          <w:tcPr>
            <w:tcW w:w="554" w:type="pct"/>
            <w:vAlign w:val="center"/>
          </w:tcPr>
          <w:p w14:paraId="53D4C39D" w14:textId="77777777" w:rsidR="00E03851" w:rsidRPr="00A172CC" w:rsidRDefault="00E03851" w:rsidP="00FF7003">
            <w:r w:rsidRPr="00A172CC">
              <w:t>34</w:t>
            </w:r>
          </w:p>
        </w:tc>
        <w:tc>
          <w:tcPr>
            <w:tcW w:w="554" w:type="pct"/>
            <w:vAlign w:val="center"/>
          </w:tcPr>
          <w:p w14:paraId="246152DA" w14:textId="77777777" w:rsidR="00E03851" w:rsidRPr="00A172CC" w:rsidRDefault="00E03851" w:rsidP="00FF7003">
            <w:r w:rsidRPr="00A172CC">
              <w:t>29</w:t>
            </w:r>
          </w:p>
        </w:tc>
        <w:tc>
          <w:tcPr>
            <w:tcW w:w="554" w:type="pct"/>
            <w:vAlign w:val="center"/>
          </w:tcPr>
          <w:p w14:paraId="44B42F7D" w14:textId="77777777" w:rsidR="00E03851" w:rsidRPr="00A172CC" w:rsidRDefault="00E03851" w:rsidP="00FF7003">
            <w:r w:rsidRPr="00A172CC">
              <w:t>22</w:t>
            </w:r>
          </w:p>
        </w:tc>
      </w:tr>
      <w:tr w:rsidR="00E03851" w:rsidRPr="00A172CC" w14:paraId="7DC1FFEB" w14:textId="77777777" w:rsidTr="00E03851">
        <w:trPr>
          <w:trHeight w:hRule="exact" w:val="556"/>
        </w:trPr>
        <w:tc>
          <w:tcPr>
            <w:tcW w:w="2230" w:type="pct"/>
            <w:vAlign w:val="center"/>
          </w:tcPr>
          <w:p w14:paraId="2F5CE96A" w14:textId="77777777" w:rsidR="00E03851" w:rsidRPr="00A172CC" w:rsidRDefault="00E03851" w:rsidP="00FF7003">
            <w:r w:rsidRPr="00A172CC">
              <w:t xml:space="preserve">Copyright, </w:t>
            </w:r>
            <w:proofErr w:type="gramStart"/>
            <w:r w:rsidRPr="00A172CC">
              <w:t>Trade Marks</w:t>
            </w:r>
            <w:proofErr w:type="gramEnd"/>
            <w:r w:rsidRPr="00A172CC">
              <w:t xml:space="preserve"> &amp; Allied Rights</w:t>
            </w:r>
          </w:p>
        </w:tc>
        <w:tc>
          <w:tcPr>
            <w:tcW w:w="554" w:type="pct"/>
          </w:tcPr>
          <w:p w14:paraId="2D26AC7C" w14:textId="6B02A1BA" w:rsidR="00E03851" w:rsidRPr="00A172CC" w:rsidRDefault="009D4B8A" w:rsidP="00FF7003">
            <w:r>
              <w:t>16</w:t>
            </w:r>
          </w:p>
        </w:tc>
        <w:tc>
          <w:tcPr>
            <w:tcW w:w="554" w:type="pct"/>
            <w:vAlign w:val="center"/>
          </w:tcPr>
          <w:p w14:paraId="1A7345B3" w14:textId="43A507BD" w:rsidR="00E03851" w:rsidRPr="00A172CC" w:rsidRDefault="00E03851" w:rsidP="00FF7003">
            <w:r w:rsidRPr="00A172CC">
              <w:t>15</w:t>
            </w:r>
          </w:p>
        </w:tc>
        <w:tc>
          <w:tcPr>
            <w:tcW w:w="554" w:type="pct"/>
            <w:vAlign w:val="center"/>
          </w:tcPr>
          <w:p w14:paraId="5345B4B9" w14:textId="77777777" w:rsidR="00E03851" w:rsidRPr="00A172CC" w:rsidRDefault="00E03851" w:rsidP="00FF7003">
            <w:r w:rsidRPr="00A172CC">
              <w:t>18</w:t>
            </w:r>
          </w:p>
        </w:tc>
        <w:tc>
          <w:tcPr>
            <w:tcW w:w="554" w:type="pct"/>
            <w:vAlign w:val="center"/>
          </w:tcPr>
          <w:p w14:paraId="34330F19" w14:textId="77777777" w:rsidR="00E03851" w:rsidRPr="00A172CC" w:rsidRDefault="00E03851" w:rsidP="00FF7003">
            <w:r w:rsidRPr="00A172CC">
              <w:t>13</w:t>
            </w:r>
          </w:p>
        </w:tc>
        <w:tc>
          <w:tcPr>
            <w:tcW w:w="554" w:type="pct"/>
            <w:vAlign w:val="center"/>
          </w:tcPr>
          <w:p w14:paraId="25D70F85" w14:textId="77777777" w:rsidR="00E03851" w:rsidRPr="00A172CC" w:rsidRDefault="00E03851" w:rsidP="00FF7003">
            <w:r w:rsidRPr="00A172CC">
              <w:t>8</w:t>
            </w:r>
          </w:p>
        </w:tc>
      </w:tr>
      <w:tr w:rsidR="00E03851" w:rsidRPr="00A172CC" w14:paraId="7ED6E77D" w14:textId="77777777" w:rsidTr="00E03851">
        <w:trPr>
          <w:trHeight w:hRule="exact" w:val="397"/>
        </w:trPr>
        <w:tc>
          <w:tcPr>
            <w:tcW w:w="2230" w:type="pct"/>
            <w:vAlign w:val="center"/>
          </w:tcPr>
          <w:p w14:paraId="1683E0F2" w14:textId="77777777" w:rsidR="00E03851" w:rsidRPr="00A172CC" w:rsidRDefault="00E03851" w:rsidP="00FF7003">
            <w:r w:rsidRPr="00A172CC">
              <w:t>Criminal Law</w:t>
            </w:r>
          </w:p>
        </w:tc>
        <w:tc>
          <w:tcPr>
            <w:tcW w:w="554" w:type="pct"/>
          </w:tcPr>
          <w:p w14:paraId="74C55272" w14:textId="5F033B5A" w:rsidR="00E03851" w:rsidRPr="00A172CC" w:rsidRDefault="009D4B8A" w:rsidP="00FF7003">
            <w:r>
              <w:t>5</w:t>
            </w:r>
          </w:p>
        </w:tc>
        <w:tc>
          <w:tcPr>
            <w:tcW w:w="554" w:type="pct"/>
            <w:vAlign w:val="center"/>
          </w:tcPr>
          <w:p w14:paraId="5C596015" w14:textId="3FB3EE2F" w:rsidR="00E03851" w:rsidRPr="00A172CC" w:rsidRDefault="00E03851" w:rsidP="00FF7003">
            <w:r w:rsidRPr="00A172CC">
              <w:t>9</w:t>
            </w:r>
          </w:p>
        </w:tc>
        <w:tc>
          <w:tcPr>
            <w:tcW w:w="554" w:type="pct"/>
            <w:vAlign w:val="center"/>
          </w:tcPr>
          <w:p w14:paraId="6BC7D9FF" w14:textId="77777777" w:rsidR="00E03851" w:rsidRPr="00A172CC" w:rsidRDefault="00E03851" w:rsidP="00FF7003">
            <w:r w:rsidRPr="00A172CC">
              <w:t>6</w:t>
            </w:r>
          </w:p>
        </w:tc>
        <w:tc>
          <w:tcPr>
            <w:tcW w:w="554" w:type="pct"/>
            <w:vAlign w:val="center"/>
          </w:tcPr>
          <w:p w14:paraId="6D02F9B4" w14:textId="77777777" w:rsidR="00E03851" w:rsidRPr="00A172CC" w:rsidRDefault="00E03851" w:rsidP="00FF7003">
            <w:r w:rsidRPr="00A172CC">
              <w:t>5</w:t>
            </w:r>
          </w:p>
        </w:tc>
        <w:tc>
          <w:tcPr>
            <w:tcW w:w="554" w:type="pct"/>
            <w:vAlign w:val="center"/>
          </w:tcPr>
          <w:p w14:paraId="26326827" w14:textId="77777777" w:rsidR="00E03851" w:rsidRPr="00A172CC" w:rsidRDefault="00E03851" w:rsidP="00FF7003">
            <w:r w:rsidRPr="00A172CC">
              <w:t>5</w:t>
            </w:r>
          </w:p>
        </w:tc>
      </w:tr>
      <w:tr w:rsidR="00E03851" w:rsidRPr="00A172CC" w14:paraId="25DD0CCA" w14:textId="77777777" w:rsidTr="00E03851">
        <w:trPr>
          <w:trHeight w:hRule="exact" w:val="397"/>
        </w:trPr>
        <w:tc>
          <w:tcPr>
            <w:tcW w:w="2230" w:type="pct"/>
            <w:vAlign w:val="center"/>
          </w:tcPr>
          <w:p w14:paraId="157B9D06" w14:textId="77777777" w:rsidR="00E03851" w:rsidRPr="00A172CC" w:rsidRDefault="00E03851" w:rsidP="00FF7003">
            <w:r w:rsidRPr="00A172CC">
              <w:t xml:space="preserve">Criminology and Criminal Justice </w:t>
            </w:r>
          </w:p>
        </w:tc>
        <w:tc>
          <w:tcPr>
            <w:tcW w:w="554" w:type="pct"/>
          </w:tcPr>
          <w:p w14:paraId="7268F307" w14:textId="6206F6F8" w:rsidR="00E03851" w:rsidRPr="00A172CC" w:rsidRDefault="009D4B8A" w:rsidP="00FF7003">
            <w:r>
              <w:t>16</w:t>
            </w:r>
          </w:p>
        </w:tc>
        <w:tc>
          <w:tcPr>
            <w:tcW w:w="554" w:type="pct"/>
            <w:vAlign w:val="center"/>
          </w:tcPr>
          <w:p w14:paraId="4243B756" w14:textId="50F8C34B" w:rsidR="00E03851" w:rsidRPr="00A172CC" w:rsidRDefault="00E03851" w:rsidP="00FF7003">
            <w:r w:rsidRPr="00A172CC">
              <w:t>16</w:t>
            </w:r>
          </w:p>
        </w:tc>
        <w:tc>
          <w:tcPr>
            <w:tcW w:w="554" w:type="pct"/>
            <w:vAlign w:val="center"/>
          </w:tcPr>
          <w:p w14:paraId="3ADD3503" w14:textId="77777777" w:rsidR="00E03851" w:rsidRPr="00A172CC" w:rsidRDefault="00E03851" w:rsidP="00FF7003">
            <w:r w:rsidRPr="00A172CC">
              <w:t>12</w:t>
            </w:r>
          </w:p>
        </w:tc>
        <w:tc>
          <w:tcPr>
            <w:tcW w:w="554" w:type="pct"/>
            <w:vAlign w:val="center"/>
          </w:tcPr>
          <w:p w14:paraId="5347749A" w14:textId="77777777" w:rsidR="00E03851" w:rsidRPr="00A172CC" w:rsidRDefault="00E03851" w:rsidP="00FF7003">
            <w:r w:rsidRPr="00A172CC">
              <w:t>27</w:t>
            </w:r>
          </w:p>
        </w:tc>
        <w:tc>
          <w:tcPr>
            <w:tcW w:w="554" w:type="pct"/>
            <w:vAlign w:val="center"/>
          </w:tcPr>
          <w:p w14:paraId="775120D8" w14:textId="77777777" w:rsidR="00E03851" w:rsidRPr="00A172CC" w:rsidRDefault="00E03851" w:rsidP="00FF7003">
            <w:r w:rsidRPr="00A172CC">
              <w:t>24</w:t>
            </w:r>
          </w:p>
        </w:tc>
      </w:tr>
      <w:tr w:rsidR="00E03851" w:rsidRPr="00A172CC" w14:paraId="5C5E549B" w14:textId="77777777" w:rsidTr="00E03851">
        <w:trPr>
          <w:trHeight w:hRule="exact" w:val="397"/>
        </w:trPr>
        <w:tc>
          <w:tcPr>
            <w:tcW w:w="2230" w:type="pct"/>
            <w:vAlign w:val="center"/>
          </w:tcPr>
          <w:p w14:paraId="2C40753B" w14:textId="77777777" w:rsidR="00E03851" w:rsidRPr="00A172CC" w:rsidRDefault="00E03851" w:rsidP="00FF7003">
            <w:r w:rsidRPr="00A172CC">
              <w:t xml:space="preserve">Environmental Law </w:t>
            </w:r>
          </w:p>
        </w:tc>
        <w:tc>
          <w:tcPr>
            <w:tcW w:w="554" w:type="pct"/>
          </w:tcPr>
          <w:p w14:paraId="208F06EF" w14:textId="0F3BCFFB" w:rsidR="00E03851" w:rsidRPr="00A172CC" w:rsidRDefault="009D4B8A" w:rsidP="00FF7003">
            <w:r>
              <w:t>12</w:t>
            </w:r>
          </w:p>
        </w:tc>
        <w:tc>
          <w:tcPr>
            <w:tcW w:w="554" w:type="pct"/>
            <w:vAlign w:val="center"/>
          </w:tcPr>
          <w:p w14:paraId="3FDE15BA" w14:textId="3F404B21" w:rsidR="00E03851" w:rsidRPr="00A172CC" w:rsidRDefault="00E03851" w:rsidP="00FF7003">
            <w:r w:rsidRPr="00A172CC">
              <w:t>16</w:t>
            </w:r>
          </w:p>
        </w:tc>
        <w:tc>
          <w:tcPr>
            <w:tcW w:w="554" w:type="pct"/>
            <w:vAlign w:val="center"/>
          </w:tcPr>
          <w:p w14:paraId="45F44A60" w14:textId="77777777" w:rsidR="00E03851" w:rsidRPr="00A172CC" w:rsidRDefault="00E03851" w:rsidP="00FF7003">
            <w:r w:rsidRPr="00A172CC">
              <w:t>3</w:t>
            </w:r>
          </w:p>
        </w:tc>
        <w:tc>
          <w:tcPr>
            <w:tcW w:w="554" w:type="pct"/>
            <w:vAlign w:val="center"/>
          </w:tcPr>
          <w:p w14:paraId="47D61B7E" w14:textId="77777777" w:rsidR="00E03851" w:rsidRPr="00A172CC" w:rsidRDefault="00E03851" w:rsidP="00FF7003">
            <w:r w:rsidRPr="00A172CC">
              <w:t>6</w:t>
            </w:r>
          </w:p>
        </w:tc>
        <w:tc>
          <w:tcPr>
            <w:tcW w:w="554" w:type="pct"/>
            <w:vAlign w:val="center"/>
          </w:tcPr>
          <w:p w14:paraId="7BE989B6" w14:textId="77777777" w:rsidR="00E03851" w:rsidRPr="00A172CC" w:rsidRDefault="00E03851" w:rsidP="00FF7003">
            <w:r w:rsidRPr="00A172CC">
              <w:t>9</w:t>
            </w:r>
          </w:p>
        </w:tc>
      </w:tr>
      <w:tr w:rsidR="00E03851" w:rsidRPr="00A172CC" w14:paraId="20CABF39" w14:textId="77777777" w:rsidTr="00E03851">
        <w:trPr>
          <w:trHeight w:hRule="exact" w:val="397"/>
        </w:trPr>
        <w:tc>
          <w:tcPr>
            <w:tcW w:w="2230" w:type="pct"/>
            <w:vAlign w:val="center"/>
          </w:tcPr>
          <w:p w14:paraId="29E095FA" w14:textId="77777777" w:rsidR="00E03851" w:rsidRPr="00A172CC" w:rsidRDefault="00E03851" w:rsidP="00FF7003">
            <w:r w:rsidRPr="00A172CC">
              <w:t>Human Rights Law</w:t>
            </w:r>
          </w:p>
        </w:tc>
        <w:tc>
          <w:tcPr>
            <w:tcW w:w="554" w:type="pct"/>
          </w:tcPr>
          <w:p w14:paraId="53010F03" w14:textId="03A5759B" w:rsidR="00E03851" w:rsidRPr="00A172CC" w:rsidRDefault="009D4B8A" w:rsidP="00FF7003">
            <w:r>
              <w:t>20</w:t>
            </w:r>
          </w:p>
        </w:tc>
        <w:tc>
          <w:tcPr>
            <w:tcW w:w="554" w:type="pct"/>
            <w:vAlign w:val="center"/>
          </w:tcPr>
          <w:p w14:paraId="27E65F3B" w14:textId="2A09BF6A" w:rsidR="00E03851" w:rsidRPr="00A172CC" w:rsidRDefault="00E03851" w:rsidP="00FF7003">
            <w:r w:rsidRPr="00A172CC">
              <w:t>18</w:t>
            </w:r>
          </w:p>
        </w:tc>
        <w:tc>
          <w:tcPr>
            <w:tcW w:w="554" w:type="pct"/>
            <w:vAlign w:val="center"/>
          </w:tcPr>
          <w:p w14:paraId="4BE011E1" w14:textId="77777777" w:rsidR="00E03851" w:rsidRPr="00A172CC" w:rsidRDefault="00E03851" w:rsidP="00FF7003">
            <w:r w:rsidRPr="00A172CC">
              <w:t>17</w:t>
            </w:r>
          </w:p>
        </w:tc>
        <w:tc>
          <w:tcPr>
            <w:tcW w:w="554" w:type="pct"/>
            <w:vAlign w:val="center"/>
          </w:tcPr>
          <w:p w14:paraId="6E1ACE76" w14:textId="77777777" w:rsidR="00E03851" w:rsidRPr="00A172CC" w:rsidRDefault="00E03851" w:rsidP="00FF7003">
            <w:r w:rsidRPr="00A172CC">
              <w:t>20</w:t>
            </w:r>
          </w:p>
        </w:tc>
        <w:tc>
          <w:tcPr>
            <w:tcW w:w="554" w:type="pct"/>
            <w:vAlign w:val="center"/>
          </w:tcPr>
          <w:p w14:paraId="156F6A06" w14:textId="77777777" w:rsidR="00E03851" w:rsidRPr="00A172CC" w:rsidRDefault="00E03851" w:rsidP="00FF7003">
            <w:r w:rsidRPr="00A172CC">
              <w:t>19</w:t>
            </w:r>
          </w:p>
        </w:tc>
      </w:tr>
      <w:tr w:rsidR="00E03851" w:rsidRPr="00A172CC" w14:paraId="79CAF2BE" w14:textId="77777777" w:rsidTr="00E03851">
        <w:trPr>
          <w:trHeight w:hRule="exact" w:val="397"/>
        </w:trPr>
        <w:tc>
          <w:tcPr>
            <w:tcW w:w="2230" w:type="pct"/>
            <w:vAlign w:val="center"/>
          </w:tcPr>
          <w:p w14:paraId="1D169FB0" w14:textId="77777777" w:rsidR="00E03851" w:rsidRPr="00A172CC" w:rsidRDefault="00E03851" w:rsidP="00FF7003">
            <w:r w:rsidRPr="00A172CC">
              <w:t>Family Law</w:t>
            </w:r>
          </w:p>
        </w:tc>
        <w:tc>
          <w:tcPr>
            <w:tcW w:w="554" w:type="pct"/>
          </w:tcPr>
          <w:p w14:paraId="0E4BB297" w14:textId="197C800B" w:rsidR="00E03851" w:rsidRPr="00A172CC" w:rsidRDefault="009D4B8A" w:rsidP="00FF7003">
            <w:r>
              <w:t>41</w:t>
            </w:r>
          </w:p>
        </w:tc>
        <w:tc>
          <w:tcPr>
            <w:tcW w:w="554" w:type="pct"/>
            <w:vAlign w:val="center"/>
          </w:tcPr>
          <w:p w14:paraId="07F8DC56" w14:textId="6AA9C732" w:rsidR="00E03851" w:rsidRPr="00A172CC" w:rsidRDefault="00E03851" w:rsidP="00FF7003">
            <w:r w:rsidRPr="00A172CC">
              <w:t>57</w:t>
            </w:r>
          </w:p>
        </w:tc>
        <w:tc>
          <w:tcPr>
            <w:tcW w:w="554" w:type="pct"/>
            <w:vAlign w:val="center"/>
          </w:tcPr>
          <w:p w14:paraId="712987F6" w14:textId="77777777" w:rsidR="00E03851" w:rsidRPr="00A172CC" w:rsidRDefault="00E03851" w:rsidP="00FF7003">
            <w:r w:rsidRPr="00A172CC">
              <w:t>60</w:t>
            </w:r>
          </w:p>
        </w:tc>
        <w:tc>
          <w:tcPr>
            <w:tcW w:w="554" w:type="pct"/>
            <w:vAlign w:val="center"/>
          </w:tcPr>
          <w:p w14:paraId="6151D576" w14:textId="77777777" w:rsidR="00E03851" w:rsidRPr="00A172CC" w:rsidRDefault="00E03851" w:rsidP="00FF7003">
            <w:r w:rsidRPr="00A172CC">
              <w:t>49</w:t>
            </w:r>
          </w:p>
        </w:tc>
        <w:tc>
          <w:tcPr>
            <w:tcW w:w="554" w:type="pct"/>
            <w:vAlign w:val="center"/>
          </w:tcPr>
          <w:p w14:paraId="1B76FBB1" w14:textId="77777777" w:rsidR="00E03851" w:rsidRPr="00A172CC" w:rsidRDefault="00E03851" w:rsidP="00FF7003">
            <w:r w:rsidRPr="00A172CC">
              <w:t>29</w:t>
            </w:r>
          </w:p>
        </w:tc>
      </w:tr>
      <w:tr w:rsidR="00E03851" w:rsidRPr="00A172CC" w14:paraId="76298A99" w14:textId="77777777" w:rsidTr="00E03851">
        <w:trPr>
          <w:trHeight w:hRule="exact" w:val="397"/>
        </w:trPr>
        <w:tc>
          <w:tcPr>
            <w:tcW w:w="2230" w:type="pct"/>
            <w:vAlign w:val="center"/>
          </w:tcPr>
          <w:p w14:paraId="79CF64CC" w14:textId="77777777" w:rsidR="00E03851" w:rsidRPr="00A172CC" w:rsidRDefault="00E03851" w:rsidP="00FF7003">
            <w:r w:rsidRPr="00A172CC">
              <w:t>History of English Law</w:t>
            </w:r>
          </w:p>
        </w:tc>
        <w:tc>
          <w:tcPr>
            <w:tcW w:w="554" w:type="pct"/>
          </w:tcPr>
          <w:p w14:paraId="22844EEB" w14:textId="5848DB45" w:rsidR="00E03851" w:rsidRPr="00A172CC" w:rsidRDefault="009D4B8A" w:rsidP="00FF7003">
            <w:r>
              <w:t>3</w:t>
            </w:r>
          </w:p>
        </w:tc>
        <w:tc>
          <w:tcPr>
            <w:tcW w:w="554" w:type="pct"/>
            <w:vAlign w:val="center"/>
          </w:tcPr>
          <w:p w14:paraId="245AD707" w14:textId="090F1424" w:rsidR="00E03851" w:rsidRPr="00A172CC" w:rsidRDefault="00E03851" w:rsidP="00FF7003">
            <w:r w:rsidRPr="00A172CC">
              <w:t>5</w:t>
            </w:r>
          </w:p>
        </w:tc>
        <w:tc>
          <w:tcPr>
            <w:tcW w:w="554" w:type="pct"/>
            <w:vAlign w:val="center"/>
          </w:tcPr>
          <w:p w14:paraId="4BF7F731" w14:textId="77777777" w:rsidR="00E03851" w:rsidRPr="00A172CC" w:rsidRDefault="00E03851" w:rsidP="00FF7003">
            <w:r w:rsidRPr="00A172CC">
              <w:t>3</w:t>
            </w:r>
          </w:p>
        </w:tc>
        <w:tc>
          <w:tcPr>
            <w:tcW w:w="554" w:type="pct"/>
            <w:vAlign w:val="center"/>
          </w:tcPr>
          <w:p w14:paraId="02D2EFDE" w14:textId="77777777" w:rsidR="00E03851" w:rsidRPr="00A172CC" w:rsidRDefault="00E03851" w:rsidP="00FF7003">
            <w:r w:rsidRPr="00A172CC">
              <w:t>2</w:t>
            </w:r>
          </w:p>
        </w:tc>
        <w:tc>
          <w:tcPr>
            <w:tcW w:w="554" w:type="pct"/>
            <w:vAlign w:val="center"/>
          </w:tcPr>
          <w:p w14:paraId="7148BBB0" w14:textId="77777777" w:rsidR="00E03851" w:rsidRPr="00A172CC" w:rsidRDefault="00E03851" w:rsidP="00FF7003">
            <w:r w:rsidRPr="00A172CC">
              <w:t>5</w:t>
            </w:r>
          </w:p>
        </w:tc>
      </w:tr>
      <w:tr w:rsidR="00E03851" w:rsidRPr="00A172CC" w14:paraId="6E6E8B7E" w14:textId="77777777" w:rsidTr="00E03851">
        <w:trPr>
          <w:trHeight w:hRule="exact" w:val="397"/>
        </w:trPr>
        <w:tc>
          <w:tcPr>
            <w:tcW w:w="2230" w:type="pct"/>
            <w:vAlign w:val="center"/>
          </w:tcPr>
          <w:p w14:paraId="32B701A0" w14:textId="77777777" w:rsidR="00E03851" w:rsidRPr="00A172CC" w:rsidRDefault="00E03851" w:rsidP="00FF7003">
            <w:r w:rsidRPr="00A172CC">
              <w:t>International Trade</w:t>
            </w:r>
          </w:p>
        </w:tc>
        <w:tc>
          <w:tcPr>
            <w:tcW w:w="554" w:type="pct"/>
          </w:tcPr>
          <w:p w14:paraId="15F8C645" w14:textId="64768F40" w:rsidR="00E03851" w:rsidRPr="00A172CC" w:rsidRDefault="009D4B8A" w:rsidP="00FF7003">
            <w:r>
              <w:t>15</w:t>
            </w:r>
          </w:p>
        </w:tc>
        <w:tc>
          <w:tcPr>
            <w:tcW w:w="554" w:type="pct"/>
            <w:vAlign w:val="center"/>
          </w:tcPr>
          <w:p w14:paraId="31C61C49" w14:textId="48D45CCB" w:rsidR="00E03851" w:rsidRPr="00A172CC" w:rsidRDefault="00E03851" w:rsidP="00FF7003">
            <w:r w:rsidRPr="00A172CC">
              <w:t>10</w:t>
            </w:r>
          </w:p>
        </w:tc>
        <w:tc>
          <w:tcPr>
            <w:tcW w:w="554" w:type="pct"/>
            <w:vAlign w:val="center"/>
          </w:tcPr>
          <w:p w14:paraId="1837E919" w14:textId="77777777" w:rsidR="00E03851" w:rsidRPr="00A172CC" w:rsidRDefault="00E03851" w:rsidP="00FF7003">
            <w:r w:rsidRPr="00A172CC">
              <w:t>13</w:t>
            </w:r>
          </w:p>
        </w:tc>
        <w:tc>
          <w:tcPr>
            <w:tcW w:w="554" w:type="pct"/>
            <w:vAlign w:val="center"/>
          </w:tcPr>
          <w:p w14:paraId="33F62FFC" w14:textId="77777777" w:rsidR="00E03851" w:rsidRPr="00A172CC" w:rsidRDefault="00E03851" w:rsidP="00FF7003">
            <w:r w:rsidRPr="00A172CC">
              <w:t>8</w:t>
            </w:r>
          </w:p>
        </w:tc>
        <w:tc>
          <w:tcPr>
            <w:tcW w:w="554" w:type="pct"/>
            <w:vAlign w:val="center"/>
          </w:tcPr>
          <w:p w14:paraId="069BB077" w14:textId="77777777" w:rsidR="00E03851" w:rsidRPr="00A172CC" w:rsidRDefault="00E03851" w:rsidP="00FF7003">
            <w:r w:rsidRPr="00A172CC">
              <w:t>5</w:t>
            </w:r>
          </w:p>
        </w:tc>
      </w:tr>
      <w:tr w:rsidR="00E03851" w:rsidRPr="00A172CC" w14:paraId="2EA14C66" w14:textId="77777777" w:rsidTr="00E03851">
        <w:trPr>
          <w:trHeight w:hRule="exact" w:val="397"/>
        </w:trPr>
        <w:tc>
          <w:tcPr>
            <w:tcW w:w="2230" w:type="pct"/>
            <w:vAlign w:val="center"/>
          </w:tcPr>
          <w:p w14:paraId="21EA55BD" w14:textId="77777777" w:rsidR="00E03851" w:rsidRPr="00A172CC" w:rsidRDefault="00E03851" w:rsidP="00FF7003">
            <w:r w:rsidRPr="00A172CC">
              <w:t>Labour Law</w:t>
            </w:r>
          </w:p>
        </w:tc>
        <w:tc>
          <w:tcPr>
            <w:tcW w:w="554" w:type="pct"/>
          </w:tcPr>
          <w:p w14:paraId="0207E379" w14:textId="336287E8" w:rsidR="00E03851" w:rsidRPr="00A172CC" w:rsidRDefault="009D4B8A" w:rsidP="00FF7003">
            <w:r>
              <w:t>1</w:t>
            </w:r>
          </w:p>
        </w:tc>
        <w:tc>
          <w:tcPr>
            <w:tcW w:w="554" w:type="pct"/>
            <w:vAlign w:val="center"/>
          </w:tcPr>
          <w:p w14:paraId="35E7FBF8" w14:textId="03DAF579" w:rsidR="00E03851" w:rsidRPr="00A172CC" w:rsidRDefault="00E03851" w:rsidP="00FF7003">
            <w:r w:rsidRPr="00A172CC">
              <w:t>13</w:t>
            </w:r>
          </w:p>
        </w:tc>
        <w:tc>
          <w:tcPr>
            <w:tcW w:w="554" w:type="pct"/>
            <w:vAlign w:val="center"/>
          </w:tcPr>
          <w:p w14:paraId="1FBA1770" w14:textId="77777777" w:rsidR="00E03851" w:rsidRPr="00A172CC" w:rsidRDefault="00E03851" w:rsidP="00FF7003">
            <w:r w:rsidRPr="00A172CC">
              <w:t>15</w:t>
            </w:r>
          </w:p>
        </w:tc>
        <w:tc>
          <w:tcPr>
            <w:tcW w:w="554" w:type="pct"/>
            <w:vAlign w:val="center"/>
          </w:tcPr>
          <w:p w14:paraId="4121DBF5" w14:textId="77777777" w:rsidR="00E03851" w:rsidRPr="00A172CC" w:rsidRDefault="00E03851" w:rsidP="00FF7003">
            <w:r w:rsidRPr="00A172CC">
              <w:t>21</w:t>
            </w:r>
          </w:p>
        </w:tc>
        <w:tc>
          <w:tcPr>
            <w:tcW w:w="554" w:type="pct"/>
            <w:vAlign w:val="center"/>
          </w:tcPr>
          <w:p w14:paraId="4B002FA7" w14:textId="77777777" w:rsidR="00E03851" w:rsidRPr="00A172CC" w:rsidRDefault="00E03851" w:rsidP="00FF7003">
            <w:r w:rsidRPr="00A172CC">
              <w:t>15</w:t>
            </w:r>
          </w:p>
        </w:tc>
      </w:tr>
      <w:tr w:rsidR="00E03851" w:rsidRPr="00A172CC" w14:paraId="53C95831" w14:textId="77777777" w:rsidTr="00E03851">
        <w:trPr>
          <w:trHeight w:hRule="exact" w:val="397"/>
        </w:trPr>
        <w:tc>
          <w:tcPr>
            <w:tcW w:w="2230" w:type="pct"/>
            <w:vAlign w:val="center"/>
          </w:tcPr>
          <w:p w14:paraId="7CFCB599" w14:textId="77777777" w:rsidR="00E03851" w:rsidRPr="00A172CC" w:rsidRDefault="00E03851" w:rsidP="00FF7003">
            <w:r w:rsidRPr="00A172CC">
              <w:t>Media Law</w:t>
            </w:r>
          </w:p>
        </w:tc>
        <w:tc>
          <w:tcPr>
            <w:tcW w:w="554" w:type="pct"/>
          </w:tcPr>
          <w:p w14:paraId="52F8D601" w14:textId="599CD5AB" w:rsidR="00E03851" w:rsidRPr="00A172CC" w:rsidRDefault="009D4B8A" w:rsidP="00FF7003">
            <w:r>
              <w:t>23</w:t>
            </w:r>
          </w:p>
        </w:tc>
        <w:tc>
          <w:tcPr>
            <w:tcW w:w="554" w:type="pct"/>
            <w:vAlign w:val="center"/>
          </w:tcPr>
          <w:p w14:paraId="05CFB8E7" w14:textId="03AE5B7F" w:rsidR="00E03851" w:rsidRPr="00A172CC" w:rsidRDefault="00E03851" w:rsidP="00FF7003">
            <w:r w:rsidRPr="00A172CC">
              <w:t>30</w:t>
            </w:r>
          </w:p>
        </w:tc>
        <w:tc>
          <w:tcPr>
            <w:tcW w:w="554" w:type="pct"/>
            <w:vAlign w:val="center"/>
          </w:tcPr>
          <w:p w14:paraId="0CF53563" w14:textId="77777777" w:rsidR="00E03851" w:rsidRPr="00A172CC" w:rsidRDefault="00E03851" w:rsidP="00FF7003">
            <w:r w:rsidRPr="00A172CC">
              <w:t>28</w:t>
            </w:r>
          </w:p>
        </w:tc>
        <w:tc>
          <w:tcPr>
            <w:tcW w:w="554" w:type="pct"/>
            <w:vAlign w:val="center"/>
          </w:tcPr>
          <w:p w14:paraId="360DC4AC" w14:textId="77777777" w:rsidR="00E03851" w:rsidRPr="00A172CC" w:rsidRDefault="00E03851" w:rsidP="00FF7003">
            <w:r w:rsidRPr="00A172CC">
              <w:t>1</w:t>
            </w:r>
          </w:p>
        </w:tc>
        <w:tc>
          <w:tcPr>
            <w:tcW w:w="554" w:type="pct"/>
            <w:vAlign w:val="center"/>
          </w:tcPr>
          <w:p w14:paraId="493ECCAE" w14:textId="77777777" w:rsidR="00E03851" w:rsidRPr="00A172CC" w:rsidRDefault="00E03851" w:rsidP="00FF7003">
            <w:r w:rsidRPr="00A172CC">
              <w:t>20</w:t>
            </w:r>
          </w:p>
        </w:tc>
      </w:tr>
      <w:tr w:rsidR="00E03851" w:rsidRPr="00A172CC" w14:paraId="55BBA814" w14:textId="77777777" w:rsidTr="00E03851">
        <w:trPr>
          <w:trHeight w:hRule="exact" w:val="397"/>
        </w:trPr>
        <w:tc>
          <w:tcPr>
            <w:tcW w:w="2230" w:type="pct"/>
            <w:vAlign w:val="center"/>
          </w:tcPr>
          <w:p w14:paraId="6E494489" w14:textId="77777777" w:rsidR="00E03851" w:rsidRPr="00A172CC" w:rsidRDefault="00E03851" w:rsidP="00FF7003">
            <w:r w:rsidRPr="00A172CC">
              <w:t>Medical Law and Ethics</w:t>
            </w:r>
          </w:p>
        </w:tc>
        <w:tc>
          <w:tcPr>
            <w:tcW w:w="554" w:type="pct"/>
          </w:tcPr>
          <w:p w14:paraId="622586CF" w14:textId="409F68DB" w:rsidR="00E03851" w:rsidRPr="00A172CC" w:rsidRDefault="009D4B8A" w:rsidP="00FF7003">
            <w:r>
              <w:t>51</w:t>
            </w:r>
          </w:p>
        </w:tc>
        <w:tc>
          <w:tcPr>
            <w:tcW w:w="554" w:type="pct"/>
            <w:vAlign w:val="center"/>
          </w:tcPr>
          <w:p w14:paraId="0BD73BD3" w14:textId="2F36BE0B" w:rsidR="00E03851" w:rsidRPr="00A172CC" w:rsidRDefault="00E03851" w:rsidP="00FF7003">
            <w:r w:rsidRPr="00A172CC">
              <w:t>85</w:t>
            </w:r>
          </w:p>
        </w:tc>
        <w:tc>
          <w:tcPr>
            <w:tcW w:w="554" w:type="pct"/>
            <w:vAlign w:val="center"/>
          </w:tcPr>
          <w:p w14:paraId="5B1ED176" w14:textId="77777777" w:rsidR="00E03851" w:rsidRPr="00A172CC" w:rsidRDefault="00E03851" w:rsidP="00FF7003">
            <w:r w:rsidRPr="00A172CC">
              <w:t>73</w:t>
            </w:r>
          </w:p>
        </w:tc>
        <w:tc>
          <w:tcPr>
            <w:tcW w:w="554" w:type="pct"/>
            <w:vAlign w:val="center"/>
          </w:tcPr>
          <w:p w14:paraId="48568478" w14:textId="77777777" w:rsidR="00E03851" w:rsidRPr="00A172CC" w:rsidRDefault="00E03851" w:rsidP="00FF7003">
            <w:r w:rsidRPr="00A172CC">
              <w:t>78</w:t>
            </w:r>
          </w:p>
        </w:tc>
        <w:tc>
          <w:tcPr>
            <w:tcW w:w="554" w:type="pct"/>
            <w:vAlign w:val="center"/>
          </w:tcPr>
          <w:p w14:paraId="3A24B8F3" w14:textId="77777777" w:rsidR="00E03851" w:rsidRPr="00A172CC" w:rsidRDefault="00E03851" w:rsidP="00FF7003">
            <w:r w:rsidRPr="00A172CC">
              <w:t>47</w:t>
            </w:r>
          </w:p>
        </w:tc>
      </w:tr>
      <w:tr w:rsidR="00E03851" w:rsidRPr="00A172CC" w14:paraId="2A085D9E" w14:textId="77777777" w:rsidTr="00E03851">
        <w:trPr>
          <w:trHeight w:hRule="exact" w:val="397"/>
        </w:trPr>
        <w:tc>
          <w:tcPr>
            <w:tcW w:w="2230" w:type="pct"/>
            <w:vAlign w:val="center"/>
          </w:tcPr>
          <w:p w14:paraId="1B2BF629" w14:textId="77777777" w:rsidR="00E03851" w:rsidRPr="00A172CC" w:rsidRDefault="00E03851" w:rsidP="00FF7003">
            <w:r w:rsidRPr="00A172CC">
              <w:t>Moral and Political Philosophy</w:t>
            </w:r>
          </w:p>
        </w:tc>
        <w:tc>
          <w:tcPr>
            <w:tcW w:w="554" w:type="pct"/>
          </w:tcPr>
          <w:p w14:paraId="3B57007A" w14:textId="46762831" w:rsidR="00E03851" w:rsidRPr="00A172CC" w:rsidRDefault="009D4B8A" w:rsidP="00FF7003">
            <w:r>
              <w:t>35</w:t>
            </w:r>
          </w:p>
        </w:tc>
        <w:tc>
          <w:tcPr>
            <w:tcW w:w="554" w:type="pct"/>
            <w:vAlign w:val="center"/>
          </w:tcPr>
          <w:p w14:paraId="008F5625" w14:textId="54B192BB" w:rsidR="00E03851" w:rsidRPr="00A172CC" w:rsidRDefault="00E03851" w:rsidP="00FF7003">
            <w:r w:rsidRPr="00A172CC">
              <w:t>17</w:t>
            </w:r>
          </w:p>
        </w:tc>
        <w:tc>
          <w:tcPr>
            <w:tcW w:w="554" w:type="pct"/>
            <w:vAlign w:val="center"/>
          </w:tcPr>
          <w:p w14:paraId="15E8755A" w14:textId="77777777" w:rsidR="00E03851" w:rsidRPr="00A172CC" w:rsidRDefault="00E03851" w:rsidP="00FF7003">
            <w:r w:rsidRPr="00A172CC">
              <w:t>24</w:t>
            </w:r>
          </w:p>
        </w:tc>
        <w:tc>
          <w:tcPr>
            <w:tcW w:w="554" w:type="pct"/>
            <w:vAlign w:val="center"/>
          </w:tcPr>
          <w:p w14:paraId="11EAC21C" w14:textId="77777777" w:rsidR="00E03851" w:rsidRPr="00A172CC" w:rsidRDefault="00E03851" w:rsidP="00FF7003">
            <w:r w:rsidRPr="00A172CC">
              <w:t>34</w:t>
            </w:r>
          </w:p>
        </w:tc>
        <w:tc>
          <w:tcPr>
            <w:tcW w:w="554" w:type="pct"/>
            <w:vAlign w:val="center"/>
          </w:tcPr>
          <w:p w14:paraId="762564ED" w14:textId="77777777" w:rsidR="00E03851" w:rsidRPr="00A172CC" w:rsidRDefault="00E03851" w:rsidP="00FF7003">
            <w:r w:rsidRPr="00A172CC">
              <w:t>18</w:t>
            </w:r>
          </w:p>
        </w:tc>
      </w:tr>
      <w:tr w:rsidR="00E03851" w:rsidRPr="00A172CC" w14:paraId="35084BC8" w14:textId="77777777" w:rsidTr="00E03851">
        <w:trPr>
          <w:trHeight w:hRule="exact" w:val="397"/>
        </w:trPr>
        <w:tc>
          <w:tcPr>
            <w:tcW w:w="2230" w:type="pct"/>
            <w:vAlign w:val="center"/>
          </w:tcPr>
          <w:p w14:paraId="1DFC2FF2" w14:textId="77777777" w:rsidR="00E03851" w:rsidRPr="00A172CC" w:rsidRDefault="00E03851" w:rsidP="00FF7003">
            <w:r w:rsidRPr="00A172CC">
              <w:t xml:space="preserve">Personal Property </w:t>
            </w:r>
          </w:p>
        </w:tc>
        <w:tc>
          <w:tcPr>
            <w:tcW w:w="554" w:type="pct"/>
          </w:tcPr>
          <w:p w14:paraId="65BA9C34" w14:textId="591F8274" w:rsidR="00E03851" w:rsidRPr="00A172CC" w:rsidRDefault="009D4B8A" w:rsidP="00FF7003">
            <w:r>
              <w:t>16</w:t>
            </w:r>
          </w:p>
        </w:tc>
        <w:tc>
          <w:tcPr>
            <w:tcW w:w="554" w:type="pct"/>
            <w:vAlign w:val="center"/>
          </w:tcPr>
          <w:p w14:paraId="6EC81D92" w14:textId="13BA1B6B" w:rsidR="00E03851" w:rsidRPr="00A172CC" w:rsidRDefault="00E03851" w:rsidP="00FF7003">
            <w:r w:rsidRPr="00A172CC">
              <w:t>12</w:t>
            </w:r>
          </w:p>
        </w:tc>
        <w:tc>
          <w:tcPr>
            <w:tcW w:w="554" w:type="pct"/>
            <w:vAlign w:val="center"/>
          </w:tcPr>
          <w:p w14:paraId="0E234EE5" w14:textId="77777777" w:rsidR="00E03851" w:rsidRPr="00A172CC" w:rsidRDefault="00E03851" w:rsidP="00FF7003">
            <w:r w:rsidRPr="00A172CC">
              <w:t>2</w:t>
            </w:r>
          </w:p>
        </w:tc>
        <w:tc>
          <w:tcPr>
            <w:tcW w:w="554" w:type="pct"/>
            <w:vAlign w:val="center"/>
          </w:tcPr>
          <w:p w14:paraId="7B966D8C" w14:textId="77777777" w:rsidR="00E03851" w:rsidRPr="00A172CC" w:rsidRDefault="00E03851" w:rsidP="00FF7003">
            <w:r w:rsidRPr="00A172CC">
              <w:t>17</w:t>
            </w:r>
          </w:p>
        </w:tc>
        <w:tc>
          <w:tcPr>
            <w:tcW w:w="554" w:type="pct"/>
            <w:vAlign w:val="center"/>
          </w:tcPr>
          <w:p w14:paraId="54F58334" w14:textId="77777777" w:rsidR="00E03851" w:rsidRPr="00A172CC" w:rsidRDefault="00E03851" w:rsidP="00FF7003">
            <w:r w:rsidRPr="00A172CC">
              <w:t>13</w:t>
            </w:r>
          </w:p>
        </w:tc>
      </w:tr>
      <w:tr w:rsidR="00E03851" w:rsidRPr="00A172CC" w14:paraId="7BB908E5" w14:textId="77777777" w:rsidTr="00E03851">
        <w:trPr>
          <w:trHeight w:hRule="exact" w:val="397"/>
        </w:trPr>
        <w:tc>
          <w:tcPr>
            <w:tcW w:w="2230" w:type="pct"/>
            <w:vAlign w:val="center"/>
          </w:tcPr>
          <w:p w14:paraId="1A4FF613" w14:textId="77777777" w:rsidR="00E03851" w:rsidRPr="00A172CC" w:rsidRDefault="00E03851" w:rsidP="00FF7003">
            <w:r w:rsidRPr="00A172CC">
              <w:t>Public International Law</w:t>
            </w:r>
          </w:p>
        </w:tc>
        <w:tc>
          <w:tcPr>
            <w:tcW w:w="554" w:type="pct"/>
          </w:tcPr>
          <w:p w14:paraId="0E76BC28" w14:textId="2DEEA11D" w:rsidR="00E03851" w:rsidRPr="00A172CC" w:rsidRDefault="009D4B8A" w:rsidP="00FF7003">
            <w:r>
              <w:t>31</w:t>
            </w:r>
          </w:p>
        </w:tc>
        <w:tc>
          <w:tcPr>
            <w:tcW w:w="554" w:type="pct"/>
            <w:vAlign w:val="center"/>
          </w:tcPr>
          <w:p w14:paraId="089FF625" w14:textId="430769E8" w:rsidR="00E03851" w:rsidRPr="00A172CC" w:rsidRDefault="00E03851" w:rsidP="00FF7003">
            <w:r w:rsidRPr="00A172CC">
              <w:t>29</w:t>
            </w:r>
          </w:p>
        </w:tc>
        <w:tc>
          <w:tcPr>
            <w:tcW w:w="554" w:type="pct"/>
            <w:vAlign w:val="center"/>
          </w:tcPr>
          <w:p w14:paraId="7BB2A89A" w14:textId="77777777" w:rsidR="00E03851" w:rsidRPr="00A172CC" w:rsidRDefault="00E03851" w:rsidP="00FF7003">
            <w:r w:rsidRPr="00A172CC">
              <w:t>41</w:t>
            </w:r>
          </w:p>
        </w:tc>
        <w:tc>
          <w:tcPr>
            <w:tcW w:w="554" w:type="pct"/>
            <w:vAlign w:val="center"/>
          </w:tcPr>
          <w:p w14:paraId="0FFB20DF" w14:textId="77777777" w:rsidR="00E03851" w:rsidRPr="00A172CC" w:rsidRDefault="00E03851" w:rsidP="00FF7003">
            <w:r w:rsidRPr="00A172CC">
              <w:t>46</w:t>
            </w:r>
          </w:p>
        </w:tc>
        <w:tc>
          <w:tcPr>
            <w:tcW w:w="554" w:type="pct"/>
            <w:vAlign w:val="center"/>
          </w:tcPr>
          <w:p w14:paraId="3028C77B" w14:textId="77777777" w:rsidR="00E03851" w:rsidRPr="00A172CC" w:rsidRDefault="00E03851" w:rsidP="00FF7003">
            <w:r w:rsidRPr="00A172CC">
              <w:t>39</w:t>
            </w:r>
          </w:p>
        </w:tc>
      </w:tr>
      <w:tr w:rsidR="00E03851" w:rsidRPr="00A172CC" w14:paraId="144468C3" w14:textId="77777777" w:rsidTr="00E03851">
        <w:trPr>
          <w:trHeight w:hRule="exact" w:val="652"/>
        </w:trPr>
        <w:tc>
          <w:tcPr>
            <w:tcW w:w="2230" w:type="pct"/>
            <w:vAlign w:val="center"/>
          </w:tcPr>
          <w:p w14:paraId="04973461" w14:textId="77777777" w:rsidR="00E03851" w:rsidRPr="00A172CC" w:rsidRDefault="00E03851" w:rsidP="00FF7003">
            <w:r w:rsidRPr="00A172CC">
              <w:t>Public International Law (Jessup Moot)</w:t>
            </w:r>
          </w:p>
        </w:tc>
        <w:tc>
          <w:tcPr>
            <w:tcW w:w="554" w:type="pct"/>
          </w:tcPr>
          <w:p w14:paraId="7EAE2B61" w14:textId="36A7A57C" w:rsidR="00E03851" w:rsidRPr="00A172CC" w:rsidRDefault="009D4B8A" w:rsidP="00FF7003">
            <w:r>
              <w:t>5</w:t>
            </w:r>
          </w:p>
        </w:tc>
        <w:tc>
          <w:tcPr>
            <w:tcW w:w="554" w:type="pct"/>
            <w:vAlign w:val="center"/>
          </w:tcPr>
          <w:p w14:paraId="37C11207" w14:textId="7C1CF9F5" w:rsidR="00E03851" w:rsidRPr="00A172CC" w:rsidRDefault="00E03851" w:rsidP="00FF7003">
            <w:r w:rsidRPr="00A172CC">
              <w:t>6</w:t>
            </w:r>
          </w:p>
        </w:tc>
        <w:tc>
          <w:tcPr>
            <w:tcW w:w="554" w:type="pct"/>
            <w:vAlign w:val="center"/>
          </w:tcPr>
          <w:p w14:paraId="04DD7781" w14:textId="77777777" w:rsidR="00E03851" w:rsidRPr="00A172CC" w:rsidRDefault="00E03851" w:rsidP="00FF7003">
            <w:r w:rsidRPr="00A172CC">
              <w:t>3</w:t>
            </w:r>
          </w:p>
        </w:tc>
        <w:tc>
          <w:tcPr>
            <w:tcW w:w="554" w:type="pct"/>
            <w:vAlign w:val="center"/>
          </w:tcPr>
          <w:p w14:paraId="3F3E44FD" w14:textId="77777777" w:rsidR="00E03851" w:rsidRPr="00A172CC" w:rsidRDefault="00E03851" w:rsidP="00FF7003">
            <w:r w:rsidRPr="00A172CC">
              <w:t>4</w:t>
            </w:r>
          </w:p>
        </w:tc>
        <w:tc>
          <w:tcPr>
            <w:tcW w:w="554" w:type="pct"/>
            <w:vAlign w:val="center"/>
          </w:tcPr>
          <w:p w14:paraId="52E96F6E" w14:textId="77777777" w:rsidR="00E03851" w:rsidRPr="00A172CC" w:rsidRDefault="00E03851" w:rsidP="00FF7003"/>
        </w:tc>
      </w:tr>
      <w:tr w:rsidR="00E03851" w:rsidRPr="00A172CC" w14:paraId="722A24A7" w14:textId="77777777" w:rsidTr="00E03851">
        <w:trPr>
          <w:trHeight w:hRule="exact" w:val="397"/>
        </w:trPr>
        <w:tc>
          <w:tcPr>
            <w:tcW w:w="2230" w:type="pct"/>
            <w:vAlign w:val="center"/>
          </w:tcPr>
          <w:p w14:paraId="1F73CBD8" w14:textId="77777777" w:rsidR="00E03851" w:rsidRPr="00A172CC" w:rsidRDefault="00E03851" w:rsidP="00FF7003">
            <w:r w:rsidRPr="00A172CC">
              <w:t>Roman Law (Delict)</w:t>
            </w:r>
          </w:p>
        </w:tc>
        <w:tc>
          <w:tcPr>
            <w:tcW w:w="554" w:type="pct"/>
          </w:tcPr>
          <w:p w14:paraId="2ABCD6C4" w14:textId="684885AE" w:rsidR="00E03851" w:rsidRPr="00A172CC" w:rsidRDefault="009D4B8A" w:rsidP="00FF7003">
            <w:r>
              <w:t>16</w:t>
            </w:r>
          </w:p>
        </w:tc>
        <w:tc>
          <w:tcPr>
            <w:tcW w:w="554" w:type="pct"/>
            <w:vAlign w:val="center"/>
          </w:tcPr>
          <w:p w14:paraId="385FF07D" w14:textId="7AC32058" w:rsidR="00E03851" w:rsidRPr="00A172CC" w:rsidRDefault="00E03851" w:rsidP="00FF7003">
            <w:r w:rsidRPr="00A172CC">
              <w:t>5</w:t>
            </w:r>
          </w:p>
        </w:tc>
        <w:tc>
          <w:tcPr>
            <w:tcW w:w="554" w:type="pct"/>
            <w:vAlign w:val="center"/>
          </w:tcPr>
          <w:p w14:paraId="5399CF24" w14:textId="77777777" w:rsidR="00E03851" w:rsidRPr="00A172CC" w:rsidRDefault="00E03851" w:rsidP="00FF7003">
            <w:r w:rsidRPr="00A172CC">
              <w:t>7</w:t>
            </w:r>
          </w:p>
        </w:tc>
        <w:tc>
          <w:tcPr>
            <w:tcW w:w="554" w:type="pct"/>
            <w:vAlign w:val="center"/>
          </w:tcPr>
          <w:p w14:paraId="4EAC68DA" w14:textId="77777777" w:rsidR="00E03851" w:rsidRPr="00A172CC" w:rsidRDefault="00E03851" w:rsidP="00FF7003">
            <w:r w:rsidRPr="00A172CC">
              <w:t>9</w:t>
            </w:r>
          </w:p>
        </w:tc>
        <w:tc>
          <w:tcPr>
            <w:tcW w:w="554" w:type="pct"/>
            <w:vAlign w:val="center"/>
          </w:tcPr>
          <w:p w14:paraId="473F45B1" w14:textId="77777777" w:rsidR="00E03851" w:rsidRPr="00A172CC" w:rsidRDefault="00E03851" w:rsidP="00FF7003">
            <w:r w:rsidRPr="00A172CC">
              <w:t>18</w:t>
            </w:r>
          </w:p>
        </w:tc>
      </w:tr>
      <w:tr w:rsidR="00E03851" w:rsidRPr="00A172CC" w14:paraId="7B8F895D" w14:textId="77777777" w:rsidTr="00E03851">
        <w:trPr>
          <w:trHeight w:hRule="exact" w:val="397"/>
        </w:trPr>
        <w:tc>
          <w:tcPr>
            <w:tcW w:w="2230" w:type="pct"/>
            <w:vAlign w:val="center"/>
          </w:tcPr>
          <w:p w14:paraId="55CD10E7" w14:textId="77777777" w:rsidR="00E03851" w:rsidRPr="00A172CC" w:rsidRDefault="00E03851" w:rsidP="00FF7003">
            <w:r w:rsidRPr="00A172CC">
              <w:t>Taxation Law</w:t>
            </w:r>
          </w:p>
        </w:tc>
        <w:tc>
          <w:tcPr>
            <w:tcW w:w="554" w:type="pct"/>
          </w:tcPr>
          <w:p w14:paraId="5ECFC1AB" w14:textId="67DB0F5D" w:rsidR="00E03851" w:rsidRPr="00A172CC" w:rsidRDefault="009D4B8A" w:rsidP="00FF7003">
            <w:r>
              <w:t>15</w:t>
            </w:r>
          </w:p>
        </w:tc>
        <w:tc>
          <w:tcPr>
            <w:tcW w:w="554" w:type="pct"/>
            <w:vAlign w:val="center"/>
          </w:tcPr>
          <w:p w14:paraId="370E6009" w14:textId="2987EE5A" w:rsidR="00E03851" w:rsidRPr="00A172CC" w:rsidRDefault="00E03851" w:rsidP="00FF7003">
            <w:r w:rsidRPr="00A172CC">
              <w:t>27</w:t>
            </w:r>
          </w:p>
        </w:tc>
        <w:tc>
          <w:tcPr>
            <w:tcW w:w="554" w:type="pct"/>
            <w:vAlign w:val="center"/>
          </w:tcPr>
          <w:p w14:paraId="3D87053F" w14:textId="77777777" w:rsidR="00E03851" w:rsidRPr="00A172CC" w:rsidRDefault="00E03851" w:rsidP="00FF7003">
            <w:r w:rsidRPr="00A172CC">
              <w:t>16</w:t>
            </w:r>
          </w:p>
        </w:tc>
        <w:tc>
          <w:tcPr>
            <w:tcW w:w="554" w:type="pct"/>
            <w:vAlign w:val="center"/>
          </w:tcPr>
          <w:p w14:paraId="7FE122C4" w14:textId="77777777" w:rsidR="00E03851" w:rsidRPr="00A172CC" w:rsidRDefault="00E03851" w:rsidP="00FF7003">
            <w:r w:rsidRPr="00A172CC">
              <w:t>22</w:t>
            </w:r>
          </w:p>
        </w:tc>
        <w:tc>
          <w:tcPr>
            <w:tcW w:w="554" w:type="pct"/>
            <w:vAlign w:val="center"/>
          </w:tcPr>
          <w:p w14:paraId="7AFFB415" w14:textId="77777777" w:rsidR="00E03851" w:rsidRPr="00A172CC" w:rsidRDefault="00E03851" w:rsidP="00FF7003">
            <w:r w:rsidRPr="00A172CC">
              <w:t>12</w:t>
            </w:r>
          </w:p>
        </w:tc>
      </w:tr>
    </w:tbl>
    <w:p w14:paraId="0FAFD092" w14:textId="77777777" w:rsidR="00131FDC" w:rsidRPr="004256D6" w:rsidRDefault="00131FDC" w:rsidP="00131FDC">
      <w:pPr>
        <w:spacing w:after="0"/>
        <w:rPr>
          <w:rStyle w:val="Ref"/>
          <w:rFonts w:eastAsia="Calibri"/>
          <w:color w:val="000000"/>
          <w:szCs w:val="23"/>
        </w:rPr>
      </w:pPr>
    </w:p>
    <w:p w14:paraId="173A29CE" w14:textId="1472F18E" w:rsidR="009D4B8A" w:rsidRDefault="009D4B8A" w:rsidP="009D4B8A">
      <w:r w:rsidRPr="00A172CC">
        <w:t xml:space="preserve">Students on the DLS take three </w:t>
      </w:r>
      <w:proofErr w:type="gramStart"/>
      <w:r w:rsidRPr="00A172CC">
        <w:t>papers, and</w:t>
      </w:r>
      <w:proofErr w:type="gramEnd"/>
      <w:r w:rsidRPr="00A172CC">
        <w:t xml:space="preserve"> choose from a shortened list of FHS option papers. The distribution of DLS students across the </w:t>
      </w:r>
      <w:r w:rsidR="0050201C">
        <w:t xml:space="preserve">core and </w:t>
      </w:r>
      <w:r w:rsidRPr="00A172CC">
        <w:t>option papers is as follows:</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985"/>
        <w:gridCol w:w="986"/>
        <w:gridCol w:w="986"/>
        <w:gridCol w:w="986"/>
        <w:gridCol w:w="986"/>
      </w:tblGrid>
      <w:tr w:rsidR="009D4B8A" w:rsidRPr="00A172CC" w14:paraId="607F9EAF" w14:textId="77777777" w:rsidTr="009D4B8A">
        <w:trPr>
          <w:trHeight w:val="357"/>
          <w:tblHeader/>
        </w:trPr>
        <w:tc>
          <w:tcPr>
            <w:tcW w:w="2230" w:type="pct"/>
            <w:tcBorders>
              <w:top w:val="single" w:sz="4" w:space="0" w:color="auto"/>
              <w:left w:val="single" w:sz="4" w:space="0" w:color="auto"/>
            </w:tcBorders>
            <w:vAlign w:val="center"/>
          </w:tcPr>
          <w:p w14:paraId="399AAD3C" w14:textId="77777777" w:rsidR="009D4B8A" w:rsidRPr="00A172CC" w:rsidRDefault="009D4B8A" w:rsidP="00FF7003"/>
        </w:tc>
        <w:tc>
          <w:tcPr>
            <w:tcW w:w="554" w:type="pct"/>
          </w:tcPr>
          <w:p w14:paraId="22FA254E" w14:textId="1BB5BBFC" w:rsidR="009D4B8A" w:rsidRPr="00A172CC" w:rsidRDefault="009D4B8A" w:rsidP="00FF7003">
            <w:r>
              <w:t>2020</w:t>
            </w:r>
          </w:p>
        </w:tc>
        <w:tc>
          <w:tcPr>
            <w:tcW w:w="554" w:type="pct"/>
            <w:vAlign w:val="center"/>
          </w:tcPr>
          <w:p w14:paraId="7DF4A265" w14:textId="7F2AAB4A" w:rsidR="009D4B8A" w:rsidRPr="00A172CC" w:rsidRDefault="009D4B8A" w:rsidP="00FF7003">
            <w:r w:rsidRPr="00A172CC">
              <w:t>2019</w:t>
            </w:r>
          </w:p>
        </w:tc>
        <w:tc>
          <w:tcPr>
            <w:tcW w:w="554" w:type="pct"/>
            <w:vAlign w:val="center"/>
          </w:tcPr>
          <w:p w14:paraId="2D070776" w14:textId="77777777" w:rsidR="009D4B8A" w:rsidRPr="00A172CC" w:rsidRDefault="009D4B8A" w:rsidP="00FF7003">
            <w:r w:rsidRPr="00A172CC">
              <w:t>2018</w:t>
            </w:r>
          </w:p>
        </w:tc>
        <w:tc>
          <w:tcPr>
            <w:tcW w:w="554" w:type="pct"/>
            <w:vAlign w:val="center"/>
          </w:tcPr>
          <w:p w14:paraId="01B5FCA2" w14:textId="77777777" w:rsidR="009D4B8A" w:rsidRPr="00A172CC" w:rsidRDefault="009D4B8A" w:rsidP="00FF7003">
            <w:r w:rsidRPr="00A172CC">
              <w:t>2017</w:t>
            </w:r>
          </w:p>
        </w:tc>
        <w:tc>
          <w:tcPr>
            <w:tcW w:w="554" w:type="pct"/>
            <w:vAlign w:val="center"/>
          </w:tcPr>
          <w:p w14:paraId="3DA98042" w14:textId="77777777" w:rsidR="009D4B8A" w:rsidRPr="00A172CC" w:rsidRDefault="009D4B8A" w:rsidP="00FF7003">
            <w:r w:rsidRPr="00A172CC">
              <w:t>2016</w:t>
            </w:r>
          </w:p>
        </w:tc>
      </w:tr>
      <w:tr w:rsidR="009D4B8A" w:rsidRPr="00A172CC" w14:paraId="55837893" w14:textId="77777777" w:rsidTr="009D4B8A">
        <w:trPr>
          <w:trHeight w:hRule="exact" w:val="397"/>
        </w:trPr>
        <w:tc>
          <w:tcPr>
            <w:tcW w:w="2230" w:type="pct"/>
            <w:vAlign w:val="center"/>
          </w:tcPr>
          <w:p w14:paraId="1AF7931E" w14:textId="77777777" w:rsidR="009D4B8A" w:rsidRPr="00A172CC" w:rsidRDefault="009D4B8A" w:rsidP="00FF7003">
            <w:r w:rsidRPr="00A172CC">
              <w:t xml:space="preserve">Administrative Law </w:t>
            </w:r>
          </w:p>
        </w:tc>
        <w:tc>
          <w:tcPr>
            <w:tcW w:w="554" w:type="pct"/>
          </w:tcPr>
          <w:p w14:paraId="51077A82" w14:textId="04DC2E3C" w:rsidR="009D4B8A" w:rsidRPr="00A172CC" w:rsidRDefault="0050201C" w:rsidP="00FF7003">
            <w:r>
              <w:t>1</w:t>
            </w:r>
          </w:p>
        </w:tc>
        <w:tc>
          <w:tcPr>
            <w:tcW w:w="554" w:type="pct"/>
            <w:vAlign w:val="center"/>
          </w:tcPr>
          <w:p w14:paraId="26D39CD3" w14:textId="7175D8B5" w:rsidR="009D4B8A" w:rsidRPr="00A172CC" w:rsidRDefault="009D4B8A" w:rsidP="00FF7003"/>
        </w:tc>
        <w:tc>
          <w:tcPr>
            <w:tcW w:w="554" w:type="pct"/>
            <w:vAlign w:val="center"/>
          </w:tcPr>
          <w:p w14:paraId="1F34039A" w14:textId="77777777" w:rsidR="009D4B8A" w:rsidRPr="00A172CC" w:rsidRDefault="009D4B8A" w:rsidP="00FF7003">
            <w:r w:rsidRPr="00A172CC">
              <w:t>1</w:t>
            </w:r>
          </w:p>
        </w:tc>
        <w:tc>
          <w:tcPr>
            <w:tcW w:w="554" w:type="pct"/>
            <w:vAlign w:val="center"/>
          </w:tcPr>
          <w:p w14:paraId="297AE039" w14:textId="77777777" w:rsidR="009D4B8A" w:rsidRPr="00A172CC" w:rsidRDefault="009D4B8A" w:rsidP="00FF7003"/>
        </w:tc>
        <w:tc>
          <w:tcPr>
            <w:tcW w:w="554" w:type="pct"/>
            <w:vAlign w:val="center"/>
          </w:tcPr>
          <w:p w14:paraId="69F8A3CD" w14:textId="77777777" w:rsidR="009D4B8A" w:rsidRPr="00A172CC" w:rsidRDefault="009D4B8A" w:rsidP="00FF7003">
            <w:r w:rsidRPr="00A172CC">
              <w:t>2</w:t>
            </w:r>
          </w:p>
        </w:tc>
      </w:tr>
      <w:tr w:rsidR="009D4B8A" w:rsidRPr="00A172CC" w14:paraId="44C15D4D" w14:textId="77777777" w:rsidTr="009D4B8A">
        <w:trPr>
          <w:trHeight w:hRule="exact" w:val="397"/>
        </w:trPr>
        <w:tc>
          <w:tcPr>
            <w:tcW w:w="2230" w:type="pct"/>
            <w:vAlign w:val="center"/>
          </w:tcPr>
          <w:p w14:paraId="2FB589BB" w14:textId="77777777" w:rsidR="009D4B8A" w:rsidRPr="00A172CC" w:rsidRDefault="009D4B8A" w:rsidP="00FF7003">
            <w:r w:rsidRPr="00A172CC">
              <w:t>Company Law</w:t>
            </w:r>
          </w:p>
        </w:tc>
        <w:tc>
          <w:tcPr>
            <w:tcW w:w="554" w:type="pct"/>
          </w:tcPr>
          <w:p w14:paraId="6EB2EDF2" w14:textId="5C0BEEFA" w:rsidR="009D4B8A" w:rsidRPr="00A172CC" w:rsidRDefault="0050201C" w:rsidP="00FF7003">
            <w:r>
              <w:t>12</w:t>
            </w:r>
          </w:p>
        </w:tc>
        <w:tc>
          <w:tcPr>
            <w:tcW w:w="554" w:type="pct"/>
            <w:vAlign w:val="center"/>
          </w:tcPr>
          <w:p w14:paraId="62718BBF" w14:textId="26F3B6A7" w:rsidR="009D4B8A" w:rsidRPr="00A172CC" w:rsidRDefault="009D4B8A" w:rsidP="00FF7003">
            <w:r w:rsidRPr="00A172CC">
              <w:t>6</w:t>
            </w:r>
          </w:p>
        </w:tc>
        <w:tc>
          <w:tcPr>
            <w:tcW w:w="554" w:type="pct"/>
            <w:vAlign w:val="center"/>
          </w:tcPr>
          <w:p w14:paraId="390AFCCC" w14:textId="77777777" w:rsidR="009D4B8A" w:rsidRPr="00A172CC" w:rsidRDefault="009D4B8A" w:rsidP="00FF7003"/>
        </w:tc>
        <w:tc>
          <w:tcPr>
            <w:tcW w:w="554" w:type="pct"/>
            <w:vAlign w:val="center"/>
          </w:tcPr>
          <w:p w14:paraId="7590F2DA" w14:textId="77777777" w:rsidR="009D4B8A" w:rsidRPr="00A172CC" w:rsidRDefault="009D4B8A" w:rsidP="00FF7003">
            <w:r w:rsidRPr="00A172CC">
              <w:t>6</w:t>
            </w:r>
          </w:p>
        </w:tc>
        <w:tc>
          <w:tcPr>
            <w:tcW w:w="554" w:type="pct"/>
            <w:vAlign w:val="center"/>
          </w:tcPr>
          <w:p w14:paraId="54C17FBE" w14:textId="77777777" w:rsidR="009D4B8A" w:rsidRPr="00A172CC" w:rsidRDefault="009D4B8A" w:rsidP="00FF7003">
            <w:r w:rsidRPr="00A172CC">
              <w:t>6</w:t>
            </w:r>
          </w:p>
        </w:tc>
      </w:tr>
      <w:tr w:rsidR="009D4B8A" w:rsidRPr="00A172CC" w14:paraId="64D2CDAE" w14:textId="77777777" w:rsidTr="009D4B8A">
        <w:trPr>
          <w:trHeight w:hRule="exact" w:val="397"/>
        </w:trPr>
        <w:tc>
          <w:tcPr>
            <w:tcW w:w="2230" w:type="pct"/>
            <w:vAlign w:val="center"/>
          </w:tcPr>
          <w:p w14:paraId="49251FC6" w14:textId="77777777" w:rsidR="009D4B8A" w:rsidRPr="00A172CC" w:rsidRDefault="009D4B8A" w:rsidP="00FF7003">
            <w:r w:rsidRPr="00A172CC">
              <w:t>Competition Law and Policy</w:t>
            </w:r>
          </w:p>
        </w:tc>
        <w:tc>
          <w:tcPr>
            <w:tcW w:w="554" w:type="pct"/>
          </w:tcPr>
          <w:p w14:paraId="2078F12F" w14:textId="50DBE36E" w:rsidR="009D4B8A" w:rsidRPr="00A172CC" w:rsidRDefault="0050201C" w:rsidP="00FF7003">
            <w:r>
              <w:t>5</w:t>
            </w:r>
          </w:p>
        </w:tc>
        <w:tc>
          <w:tcPr>
            <w:tcW w:w="554" w:type="pct"/>
            <w:vAlign w:val="center"/>
          </w:tcPr>
          <w:p w14:paraId="3040CFBD" w14:textId="615F4F7A" w:rsidR="009D4B8A" w:rsidRPr="00A172CC" w:rsidRDefault="009D4B8A" w:rsidP="00FF7003">
            <w:r w:rsidRPr="00A172CC">
              <w:t>5</w:t>
            </w:r>
          </w:p>
        </w:tc>
        <w:tc>
          <w:tcPr>
            <w:tcW w:w="554" w:type="pct"/>
            <w:vAlign w:val="center"/>
          </w:tcPr>
          <w:p w14:paraId="416E5336" w14:textId="77777777" w:rsidR="009D4B8A" w:rsidRPr="00A172CC" w:rsidRDefault="009D4B8A" w:rsidP="00FF7003"/>
        </w:tc>
        <w:tc>
          <w:tcPr>
            <w:tcW w:w="554" w:type="pct"/>
            <w:vAlign w:val="center"/>
          </w:tcPr>
          <w:p w14:paraId="407B1862" w14:textId="77777777" w:rsidR="009D4B8A" w:rsidRPr="00A172CC" w:rsidRDefault="009D4B8A" w:rsidP="00FF7003">
            <w:r w:rsidRPr="00A172CC">
              <w:t>5</w:t>
            </w:r>
          </w:p>
        </w:tc>
        <w:tc>
          <w:tcPr>
            <w:tcW w:w="554" w:type="pct"/>
            <w:vAlign w:val="center"/>
          </w:tcPr>
          <w:p w14:paraId="4D63324E" w14:textId="77777777" w:rsidR="009D4B8A" w:rsidRPr="00A172CC" w:rsidRDefault="009D4B8A" w:rsidP="00FF7003">
            <w:r w:rsidRPr="00A172CC">
              <w:t>3</w:t>
            </w:r>
          </w:p>
        </w:tc>
      </w:tr>
      <w:tr w:rsidR="009D4B8A" w:rsidRPr="00A172CC" w14:paraId="0BC61253" w14:textId="77777777" w:rsidTr="009D4B8A">
        <w:trPr>
          <w:trHeight w:hRule="exact" w:val="397"/>
        </w:trPr>
        <w:tc>
          <w:tcPr>
            <w:tcW w:w="2230" w:type="pct"/>
            <w:vAlign w:val="center"/>
          </w:tcPr>
          <w:p w14:paraId="062981ED" w14:textId="77777777" w:rsidR="009D4B8A" w:rsidRPr="00A172CC" w:rsidRDefault="009D4B8A" w:rsidP="00FF7003">
            <w:r w:rsidRPr="00A172CC">
              <w:t>Constitutional Law</w:t>
            </w:r>
          </w:p>
        </w:tc>
        <w:tc>
          <w:tcPr>
            <w:tcW w:w="554" w:type="pct"/>
          </w:tcPr>
          <w:p w14:paraId="7B88E22C" w14:textId="1EB0E168" w:rsidR="009D4B8A" w:rsidRPr="00A172CC" w:rsidRDefault="0050201C" w:rsidP="00FF7003">
            <w:r>
              <w:t>4</w:t>
            </w:r>
          </w:p>
        </w:tc>
        <w:tc>
          <w:tcPr>
            <w:tcW w:w="554" w:type="pct"/>
            <w:vAlign w:val="center"/>
          </w:tcPr>
          <w:p w14:paraId="016A224A" w14:textId="5AC96732" w:rsidR="009D4B8A" w:rsidRPr="00A172CC" w:rsidRDefault="009D4B8A" w:rsidP="00FF7003">
            <w:r w:rsidRPr="00A172CC">
              <w:t>4</w:t>
            </w:r>
          </w:p>
        </w:tc>
        <w:tc>
          <w:tcPr>
            <w:tcW w:w="554" w:type="pct"/>
            <w:vAlign w:val="center"/>
          </w:tcPr>
          <w:p w14:paraId="5FB22568" w14:textId="77777777" w:rsidR="009D4B8A" w:rsidRPr="00A172CC" w:rsidRDefault="009D4B8A" w:rsidP="00FF7003">
            <w:r w:rsidRPr="00A172CC">
              <w:t>3</w:t>
            </w:r>
          </w:p>
        </w:tc>
        <w:tc>
          <w:tcPr>
            <w:tcW w:w="554" w:type="pct"/>
            <w:vAlign w:val="center"/>
          </w:tcPr>
          <w:p w14:paraId="5051ED49" w14:textId="77777777" w:rsidR="009D4B8A" w:rsidRPr="00A172CC" w:rsidRDefault="009D4B8A" w:rsidP="00FF7003">
            <w:r w:rsidRPr="00A172CC">
              <w:t>5</w:t>
            </w:r>
          </w:p>
        </w:tc>
        <w:tc>
          <w:tcPr>
            <w:tcW w:w="554" w:type="pct"/>
            <w:vAlign w:val="center"/>
          </w:tcPr>
          <w:p w14:paraId="7208DB0A" w14:textId="77777777" w:rsidR="009D4B8A" w:rsidRPr="00A172CC" w:rsidRDefault="009D4B8A" w:rsidP="00FF7003">
            <w:r w:rsidRPr="00A172CC">
              <w:t>5</w:t>
            </w:r>
          </w:p>
        </w:tc>
      </w:tr>
      <w:tr w:rsidR="009D4B8A" w:rsidRPr="00A172CC" w14:paraId="167066A5" w14:textId="77777777" w:rsidTr="009D4B8A">
        <w:trPr>
          <w:trHeight w:hRule="exact" w:val="397"/>
        </w:trPr>
        <w:tc>
          <w:tcPr>
            <w:tcW w:w="2230" w:type="pct"/>
            <w:vAlign w:val="center"/>
          </w:tcPr>
          <w:p w14:paraId="48B9A5C3" w14:textId="77777777" w:rsidR="009D4B8A" w:rsidRPr="00A172CC" w:rsidRDefault="009D4B8A" w:rsidP="00FF7003">
            <w:r w:rsidRPr="00A172CC">
              <w:t>Contract</w:t>
            </w:r>
          </w:p>
        </w:tc>
        <w:tc>
          <w:tcPr>
            <w:tcW w:w="554" w:type="pct"/>
          </w:tcPr>
          <w:p w14:paraId="01587854" w14:textId="396F72C4" w:rsidR="009D4B8A" w:rsidRPr="00A172CC" w:rsidRDefault="0050201C" w:rsidP="00FF7003">
            <w:r>
              <w:t>25</w:t>
            </w:r>
          </w:p>
        </w:tc>
        <w:tc>
          <w:tcPr>
            <w:tcW w:w="554" w:type="pct"/>
            <w:vAlign w:val="center"/>
          </w:tcPr>
          <w:p w14:paraId="1518F8BE" w14:textId="4D59993C" w:rsidR="009D4B8A" w:rsidRPr="00A172CC" w:rsidRDefault="009D4B8A" w:rsidP="00FF7003">
            <w:r w:rsidRPr="00A172CC">
              <w:t>22</w:t>
            </w:r>
          </w:p>
        </w:tc>
        <w:tc>
          <w:tcPr>
            <w:tcW w:w="554" w:type="pct"/>
            <w:vAlign w:val="center"/>
          </w:tcPr>
          <w:p w14:paraId="7A0B4EC3" w14:textId="77777777" w:rsidR="009D4B8A" w:rsidRPr="00A172CC" w:rsidRDefault="009D4B8A" w:rsidP="00FF7003">
            <w:r w:rsidRPr="00A172CC">
              <w:t>28</w:t>
            </w:r>
          </w:p>
        </w:tc>
        <w:tc>
          <w:tcPr>
            <w:tcW w:w="554" w:type="pct"/>
            <w:vAlign w:val="center"/>
          </w:tcPr>
          <w:p w14:paraId="1ED98275" w14:textId="77777777" w:rsidR="009D4B8A" w:rsidRPr="00A172CC" w:rsidRDefault="009D4B8A" w:rsidP="00FF7003">
            <w:r w:rsidRPr="00A172CC">
              <w:t>27</w:t>
            </w:r>
          </w:p>
        </w:tc>
        <w:tc>
          <w:tcPr>
            <w:tcW w:w="554" w:type="pct"/>
            <w:vAlign w:val="center"/>
          </w:tcPr>
          <w:p w14:paraId="196E8079" w14:textId="77777777" w:rsidR="009D4B8A" w:rsidRPr="00A172CC" w:rsidRDefault="009D4B8A" w:rsidP="00FF7003">
            <w:r w:rsidRPr="00A172CC">
              <w:t>27</w:t>
            </w:r>
          </w:p>
        </w:tc>
      </w:tr>
      <w:tr w:rsidR="009D4B8A" w:rsidRPr="00A172CC" w14:paraId="42F8A229" w14:textId="77777777" w:rsidTr="009D4B8A">
        <w:trPr>
          <w:trHeight w:hRule="exact" w:val="397"/>
        </w:trPr>
        <w:tc>
          <w:tcPr>
            <w:tcW w:w="2230" w:type="pct"/>
            <w:vAlign w:val="center"/>
          </w:tcPr>
          <w:p w14:paraId="711E7DE3" w14:textId="77777777" w:rsidR="009D4B8A" w:rsidRPr="00A172CC" w:rsidRDefault="009D4B8A" w:rsidP="00FF7003">
            <w:r w:rsidRPr="00A172CC">
              <w:t>Copyright, Patents and Allied Rights</w:t>
            </w:r>
          </w:p>
        </w:tc>
        <w:tc>
          <w:tcPr>
            <w:tcW w:w="554" w:type="pct"/>
          </w:tcPr>
          <w:p w14:paraId="1BFBB6CD" w14:textId="7F8D6D03" w:rsidR="009D4B8A" w:rsidRPr="00A172CC" w:rsidRDefault="009D4B8A" w:rsidP="00FF7003"/>
        </w:tc>
        <w:tc>
          <w:tcPr>
            <w:tcW w:w="554" w:type="pct"/>
            <w:vAlign w:val="center"/>
          </w:tcPr>
          <w:p w14:paraId="39D06547" w14:textId="3A0CE6B6" w:rsidR="009D4B8A" w:rsidRPr="00A172CC" w:rsidRDefault="009D4B8A" w:rsidP="00FF7003">
            <w:r w:rsidRPr="00A172CC">
              <w:t>3</w:t>
            </w:r>
          </w:p>
        </w:tc>
        <w:tc>
          <w:tcPr>
            <w:tcW w:w="554" w:type="pct"/>
            <w:vAlign w:val="center"/>
          </w:tcPr>
          <w:p w14:paraId="0ACA195B" w14:textId="77777777" w:rsidR="009D4B8A" w:rsidRPr="00A172CC" w:rsidRDefault="009D4B8A" w:rsidP="00FF7003">
            <w:r w:rsidRPr="00A172CC">
              <w:t>3</w:t>
            </w:r>
          </w:p>
        </w:tc>
        <w:tc>
          <w:tcPr>
            <w:tcW w:w="554" w:type="pct"/>
            <w:vAlign w:val="center"/>
          </w:tcPr>
          <w:p w14:paraId="063B7341" w14:textId="77777777" w:rsidR="009D4B8A" w:rsidRPr="00A172CC" w:rsidRDefault="009D4B8A" w:rsidP="00FF7003">
            <w:r w:rsidRPr="00A172CC">
              <w:t>2</w:t>
            </w:r>
          </w:p>
        </w:tc>
        <w:tc>
          <w:tcPr>
            <w:tcW w:w="554" w:type="pct"/>
            <w:vAlign w:val="center"/>
          </w:tcPr>
          <w:p w14:paraId="31C14B1F" w14:textId="77777777" w:rsidR="009D4B8A" w:rsidRPr="00A172CC" w:rsidRDefault="009D4B8A" w:rsidP="00FF7003">
            <w:r w:rsidRPr="00A172CC">
              <w:t>6</w:t>
            </w:r>
          </w:p>
        </w:tc>
      </w:tr>
      <w:tr w:rsidR="009D4B8A" w:rsidRPr="00A172CC" w14:paraId="601640A9" w14:textId="77777777" w:rsidTr="009D4B8A">
        <w:trPr>
          <w:trHeight w:hRule="exact" w:val="570"/>
        </w:trPr>
        <w:tc>
          <w:tcPr>
            <w:tcW w:w="2230" w:type="pct"/>
            <w:vAlign w:val="center"/>
          </w:tcPr>
          <w:p w14:paraId="5771DF8D" w14:textId="77777777" w:rsidR="009D4B8A" w:rsidRPr="00A172CC" w:rsidRDefault="009D4B8A" w:rsidP="00FF7003">
            <w:r w:rsidRPr="00A172CC">
              <w:t>Copyright, Trademarks and Allied Rights</w:t>
            </w:r>
          </w:p>
        </w:tc>
        <w:tc>
          <w:tcPr>
            <w:tcW w:w="554" w:type="pct"/>
          </w:tcPr>
          <w:p w14:paraId="06D59E8D" w14:textId="27F96E8A" w:rsidR="009D4B8A" w:rsidRPr="00A172CC" w:rsidRDefault="0050201C" w:rsidP="00FF7003">
            <w:r>
              <w:t>6</w:t>
            </w:r>
          </w:p>
        </w:tc>
        <w:tc>
          <w:tcPr>
            <w:tcW w:w="554" w:type="pct"/>
            <w:vAlign w:val="center"/>
          </w:tcPr>
          <w:p w14:paraId="469A0A33" w14:textId="22A09DE2" w:rsidR="009D4B8A" w:rsidRPr="00A172CC" w:rsidRDefault="009D4B8A" w:rsidP="00FF7003">
            <w:r w:rsidRPr="00A172CC">
              <w:t>2</w:t>
            </w:r>
          </w:p>
        </w:tc>
        <w:tc>
          <w:tcPr>
            <w:tcW w:w="554" w:type="pct"/>
            <w:vAlign w:val="center"/>
          </w:tcPr>
          <w:p w14:paraId="1E862889" w14:textId="77777777" w:rsidR="009D4B8A" w:rsidRPr="00A172CC" w:rsidRDefault="009D4B8A" w:rsidP="00FF7003">
            <w:r w:rsidRPr="00A172CC">
              <w:t>4</w:t>
            </w:r>
          </w:p>
        </w:tc>
        <w:tc>
          <w:tcPr>
            <w:tcW w:w="554" w:type="pct"/>
            <w:vAlign w:val="center"/>
          </w:tcPr>
          <w:p w14:paraId="1BCDD9BA" w14:textId="77777777" w:rsidR="009D4B8A" w:rsidRPr="00A172CC" w:rsidRDefault="009D4B8A" w:rsidP="00FF7003">
            <w:r w:rsidRPr="00A172CC">
              <w:t>4</w:t>
            </w:r>
          </w:p>
        </w:tc>
        <w:tc>
          <w:tcPr>
            <w:tcW w:w="554" w:type="pct"/>
            <w:vAlign w:val="center"/>
          </w:tcPr>
          <w:p w14:paraId="432672C3" w14:textId="77777777" w:rsidR="009D4B8A" w:rsidRPr="00A172CC" w:rsidRDefault="009D4B8A" w:rsidP="00FF7003">
            <w:r w:rsidRPr="00A172CC">
              <w:t>2</w:t>
            </w:r>
          </w:p>
        </w:tc>
      </w:tr>
      <w:tr w:rsidR="009D4B8A" w:rsidRPr="00A172CC" w14:paraId="7AF17A84" w14:textId="77777777" w:rsidTr="009D4B8A">
        <w:trPr>
          <w:trHeight w:hRule="exact" w:val="397"/>
        </w:trPr>
        <w:tc>
          <w:tcPr>
            <w:tcW w:w="2230" w:type="pct"/>
            <w:vAlign w:val="center"/>
          </w:tcPr>
          <w:p w14:paraId="50BB70D4" w14:textId="77777777" w:rsidR="009D4B8A" w:rsidRPr="00A172CC" w:rsidRDefault="009D4B8A" w:rsidP="00FF7003">
            <w:r w:rsidRPr="00A172CC">
              <w:t>Criminal Law</w:t>
            </w:r>
          </w:p>
        </w:tc>
        <w:tc>
          <w:tcPr>
            <w:tcW w:w="554" w:type="pct"/>
          </w:tcPr>
          <w:p w14:paraId="73AA1B47" w14:textId="2712725C" w:rsidR="009D4B8A" w:rsidRPr="00A172CC" w:rsidRDefault="0050201C" w:rsidP="00FF7003">
            <w:r>
              <w:t>2</w:t>
            </w:r>
          </w:p>
        </w:tc>
        <w:tc>
          <w:tcPr>
            <w:tcW w:w="554" w:type="pct"/>
            <w:vAlign w:val="center"/>
          </w:tcPr>
          <w:p w14:paraId="41E46243" w14:textId="4C304A95" w:rsidR="009D4B8A" w:rsidRPr="00A172CC" w:rsidRDefault="009D4B8A" w:rsidP="00FF7003"/>
        </w:tc>
        <w:tc>
          <w:tcPr>
            <w:tcW w:w="554" w:type="pct"/>
            <w:vAlign w:val="center"/>
          </w:tcPr>
          <w:p w14:paraId="719A77BB" w14:textId="77777777" w:rsidR="009D4B8A" w:rsidRPr="00A172CC" w:rsidRDefault="009D4B8A" w:rsidP="00FF7003">
            <w:r w:rsidRPr="00A172CC">
              <w:t>6</w:t>
            </w:r>
          </w:p>
        </w:tc>
        <w:tc>
          <w:tcPr>
            <w:tcW w:w="554" w:type="pct"/>
            <w:vAlign w:val="center"/>
          </w:tcPr>
          <w:p w14:paraId="4DF04781" w14:textId="77777777" w:rsidR="009D4B8A" w:rsidRPr="00A172CC" w:rsidRDefault="009D4B8A" w:rsidP="00FF7003"/>
        </w:tc>
        <w:tc>
          <w:tcPr>
            <w:tcW w:w="554" w:type="pct"/>
            <w:vAlign w:val="center"/>
          </w:tcPr>
          <w:p w14:paraId="15F40266" w14:textId="77777777" w:rsidR="009D4B8A" w:rsidRPr="00A172CC" w:rsidRDefault="009D4B8A" w:rsidP="00FF7003">
            <w:r w:rsidRPr="00A172CC">
              <w:t>1</w:t>
            </w:r>
          </w:p>
        </w:tc>
      </w:tr>
      <w:tr w:rsidR="009D4B8A" w:rsidRPr="00A172CC" w14:paraId="17D6C8B8" w14:textId="77777777" w:rsidTr="009D4B8A">
        <w:trPr>
          <w:trHeight w:hRule="exact" w:val="397"/>
        </w:trPr>
        <w:tc>
          <w:tcPr>
            <w:tcW w:w="2230" w:type="pct"/>
            <w:vAlign w:val="center"/>
          </w:tcPr>
          <w:p w14:paraId="1CF613A4" w14:textId="77777777" w:rsidR="009D4B8A" w:rsidRPr="00A172CC" w:rsidRDefault="009D4B8A" w:rsidP="00FF7003">
            <w:r w:rsidRPr="00A172CC">
              <w:lastRenderedPageBreak/>
              <w:t xml:space="preserve">Criminology and Criminal Justice </w:t>
            </w:r>
          </w:p>
        </w:tc>
        <w:tc>
          <w:tcPr>
            <w:tcW w:w="554" w:type="pct"/>
          </w:tcPr>
          <w:p w14:paraId="01B5A429" w14:textId="09B9FF2E" w:rsidR="009D4B8A" w:rsidRPr="00A172CC" w:rsidRDefault="0050201C" w:rsidP="00FF7003">
            <w:r>
              <w:t>2</w:t>
            </w:r>
          </w:p>
        </w:tc>
        <w:tc>
          <w:tcPr>
            <w:tcW w:w="554" w:type="pct"/>
            <w:vAlign w:val="center"/>
          </w:tcPr>
          <w:p w14:paraId="275C2D75" w14:textId="5FE57B3C" w:rsidR="009D4B8A" w:rsidRPr="00A172CC" w:rsidRDefault="009D4B8A" w:rsidP="00FF7003">
            <w:r w:rsidRPr="00A172CC">
              <w:t>3</w:t>
            </w:r>
          </w:p>
        </w:tc>
        <w:tc>
          <w:tcPr>
            <w:tcW w:w="554" w:type="pct"/>
            <w:vAlign w:val="center"/>
          </w:tcPr>
          <w:p w14:paraId="1648A1CC" w14:textId="77777777" w:rsidR="009D4B8A" w:rsidRPr="00A172CC" w:rsidRDefault="009D4B8A" w:rsidP="00FF7003">
            <w:r w:rsidRPr="00A172CC">
              <w:t>4</w:t>
            </w:r>
          </w:p>
        </w:tc>
        <w:tc>
          <w:tcPr>
            <w:tcW w:w="554" w:type="pct"/>
            <w:vAlign w:val="center"/>
          </w:tcPr>
          <w:p w14:paraId="7B73BCBD" w14:textId="77777777" w:rsidR="009D4B8A" w:rsidRPr="00A172CC" w:rsidRDefault="009D4B8A" w:rsidP="00FF7003">
            <w:r w:rsidRPr="00A172CC">
              <w:t>2</w:t>
            </w:r>
          </w:p>
        </w:tc>
        <w:tc>
          <w:tcPr>
            <w:tcW w:w="554" w:type="pct"/>
            <w:vAlign w:val="center"/>
          </w:tcPr>
          <w:p w14:paraId="221C9041" w14:textId="77777777" w:rsidR="009D4B8A" w:rsidRPr="00A172CC" w:rsidRDefault="009D4B8A" w:rsidP="00FF7003">
            <w:r w:rsidRPr="00A172CC">
              <w:t>2</w:t>
            </w:r>
          </w:p>
        </w:tc>
      </w:tr>
      <w:tr w:rsidR="009D4B8A" w:rsidRPr="00A172CC" w14:paraId="3589AE16" w14:textId="77777777" w:rsidTr="009D4B8A">
        <w:trPr>
          <w:trHeight w:hRule="exact" w:val="397"/>
        </w:trPr>
        <w:tc>
          <w:tcPr>
            <w:tcW w:w="2230" w:type="pct"/>
            <w:vAlign w:val="center"/>
          </w:tcPr>
          <w:p w14:paraId="25DEE661" w14:textId="77777777" w:rsidR="009D4B8A" w:rsidRPr="00A172CC" w:rsidRDefault="009D4B8A" w:rsidP="00FF7003">
            <w:r w:rsidRPr="00A172CC">
              <w:t>Environmental Law</w:t>
            </w:r>
          </w:p>
        </w:tc>
        <w:tc>
          <w:tcPr>
            <w:tcW w:w="554" w:type="pct"/>
          </w:tcPr>
          <w:p w14:paraId="0CBD92C8" w14:textId="3F7F2D53" w:rsidR="009D4B8A" w:rsidRPr="00A172CC" w:rsidRDefault="0050201C" w:rsidP="00FF7003">
            <w:r>
              <w:t>1</w:t>
            </w:r>
          </w:p>
        </w:tc>
        <w:tc>
          <w:tcPr>
            <w:tcW w:w="554" w:type="pct"/>
            <w:vAlign w:val="center"/>
          </w:tcPr>
          <w:p w14:paraId="7338DF2B" w14:textId="306779EF" w:rsidR="009D4B8A" w:rsidRPr="00A172CC" w:rsidRDefault="009D4B8A" w:rsidP="00FF7003">
            <w:r w:rsidRPr="00A172CC">
              <w:t>4</w:t>
            </w:r>
          </w:p>
        </w:tc>
        <w:tc>
          <w:tcPr>
            <w:tcW w:w="554" w:type="pct"/>
            <w:vAlign w:val="center"/>
          </w:tcPr>
          <w:p w14:paraId="67D65CD8" w14:textId="77777777" w:rsidR="009D4B8A" w:rsidRPr="00A172CC" w:rsidRDefault="009D4B8A" w:rsidP="00FF7003">
            <w:r w:rsidRPr="00A172CC">
              <w:t>1</w:t>
            </w:r>
          </w:p>
        </w:tc>
        <w:tc>
          <w:tcPr>
            <w:tcW w:w="554" w:type="pct"/>
            <w:vAlign w:val="center"/>
          </w:tcPr>
          <w:p w14:paraId="25B4BDC9" w14:textId="77777777" w:rsidR="009D4B8A" w:rsidRPr="00A172CC" w:rsidRDefault="009D4B8A" w:rsidP="00FF7003"/>
        </w:tc>
        <w:tc>
          <w:tcPr>
            <w:tcW w:w="554" w:type="pct"/>
            <w:vAlign w:val="center"/>
          </w:tcPr>
          <w:p w14:paraId="21E19067" w14:textId="77777777" w:rsidR="009D4B8A" w:rsidRPr="00A172CC" w:rsidRDefault="009D4B8A" w:rsidP="00FF7003"/>
        </w:tc>
      </w:tr>
      <w:tr w:rsidR="009D4B8A" w:rsidRPr="00A172CC" w14:paraId="710D9110" w14:textId="77777777" w:rsidTr="009D4B8A">
        <w:trPr>
          <w:trHeight w:hRule="exact" w:val="397"/>
        </w:trPr>
        <w:tc>
          <w:tcPr>
            <w:tcW w:w="2230" w:type="pct"/>
            <w:vAlign w:val="center"/>
          </w:tcPr>
          <w:p w14:paraId="7DE845A6" w14:textId="77777777" w:rsidR="009D4B8A" w:rsidRPr="00A172CC" w:rsidRDefault="009D4B8A" w:rsidP="00FF7003">
            <w:r w:rsidRPr="00A172CC">
              <w:t xml:space="preserve">European Union Law </w:t>
            </w:r>
          </w:p>
        </w:tc>
        <w:tc>
          <w:tcPr>
            <w:tcW w:w="554" w:type="pct"/>
          </w:tcPr>
          <w:p w14:paraId="3390BE74" w14:textId="0CFAAA0A" w:rsidR="009D4B8A" w:rsidRPr="00A172CC" w:rsidRDefault="0050201C" w:rsidP="00FF7003">
            <w:r>
              <w:t>3</w:t>
            </w:r>
          </w:p>
        </w:tc>
        <w:tc>
          <w:tcPr>
            <w:tcW w:w="554" w:type="pct"/>
            <w:vAlign w:val="center"/>
          </w:tcPr>
          <w:p w14:paraId="52C4F255" w14:textId="5FB4BBAD" w:rsidR="009D4B8A" w:rsidRPr="00A172CC" w:rsidRDefault="009D4B8A" w:rsidP="00FF7003">
            <w:r w:rsidRPr="00A172CC">
              <w:t>4</w:t>
            </w:r>
          </w:p>
        </w:tc>
        <w:tc>
          <w:tcPr>
            <w:tcW w:w="554" w:type="pct"/>
            <w:vAlign w:val="center"/>
          </w:tcPr>
          <w:p w14:paraId="689178A0" w14:textId="77777777" w:rsidR="009D4B8A" w:rsidRPr="00A172CC" w:rsidRDefault="009D4B8A" w:rsidP="00FF7003">
            <w:r w:rsidRPr="00A172CC">
              <w:t>5</w:t>
            </w:r>
          </w:p>
        </w:tc>
        <w:tc>
          <w:tcPr>
            <w:tcW w:w="554" w:type="pct"/>
            <w:vAlign w:val="center"/>
          </w:tcPr>
          <w:p w14:paraId="2FCD727C" w14:textId="77777777" w:rsidR="009D4B8A" w:rsidRPr="00A172CC" w:rsidRDefault="009D4B8A" w:rsidP="00FF7003">
            <w:r w:rsidRPr="00A172CC">
              <w:t>8</w:t>
            </w:r>
          </w:p>
        </w:tc>
        <w:tc>
          <w:tcPr>
            <w:tcW w:w="554" w:type="pct"/>
            <w:vAlign w:val="center"/>
          </w:tcPr>
          <w:p w14:paraId="77ADC926" w14:textId="77777777" w:rsidR="009D4B8A" w:rsidRPr="00A172CC" w:rsidRDefault="009D4B8A" w:rsidP="00FF7003">
            <w:r w:rsidRPr="00A172CC">
              <w:t>7</w:t>
            </w:r>
          </w:p>
        </w:tc>
      </w:tr>
      <w:tr w:rsidR="009D4B8A" w:rsidRPr="00A172CC" w14:paraId="728E3761" w14:textId="77777777" w:rsidTr="009D4B8A">
        <w:trPr>
          <w:trHeight w:hRule="exact" w:val="397"/>
        </w:trPr>
        <w:tc>
          <w:tcPr>
            <w:tcW w:w="2230" w:type="pct"/>
            <w:vAlign w:val="center"/>
          </w:tcPr>
          <w:p w14:paraId="30830574" w14:textId="77777777" w:rsidR="009D4B8A" w:rsidRPr="00A172CC" w:rsidRDefault="009D4B8A" w:rsidP="00FF7003">
            <w:r w:rsidRPr="00A172CC">
              <w:t>Family Law</w:t>
            </w:r>
          </w:p>
        </w:tc>
        <w:tc>
          <w:tcPr>
            <w:tcW w:w="554" w:type="pct"/>
          </w:tcPr>
          <w:p w14:paraId="0D148946" w14:textId="77777777" w:rsidR="009D4B8A" w:rsidRPr="00A172CC" w:rsidRDefault="009D4B8A" w:rsidP="00FF7003"/>
        </w:tc>
        <w:tc>
          <w:tcPr>
            <w:tcW w:w="554" w:type="pct"/>
            <w:vAlign w:val="center"/>
          </w:tcPr>
          <w:p w14:paraId="2D7509AF" w14:textId="52E7437A" w:rsidR="009D4B8A" w:rsidRPr="00A172CC" w:rsidRDefault="009D4B8A" w:rsidP="00FF7003">
            <w:r w:rsidRPr="00A172CC">
              <w:t>1</w:t>
            </w:r>
          </w:p>
        </w:tc>
        <w:tc>
          <w:tcPr>
            <w:tcW w:w="554" w:type="pct"/>
            <w:vAlign w:val="center"/>
          </w:tcPr>
          <w:p w14:paraId="7E01508B" w14:textId="77777777" w:rsidR="009D4B8A" w:rsidRPr="00A172CC" w:rsidRDefault="009D4B8A" w:rsidP="00FF7003"/>
        </w:tc>
        <w:tc>
          <w:tcPr>
            <w:tcW w:w="554" w:type="pct"/>
            <w:vAlign w:val="center"/>
          </w:tcPr>
          <w:p w14:paraId="137BD9C3" w14:textId="77777777" w:rsidR="009D4B8A" w:rsidRPr="00A172CC" w:rsidRDefault="009D4B8A" w:rsidP="00FF7003"/>
        </w:tc>
        <w:tc>
          <w:tcPr>
            <w:tcW w:w="554" w:type="pct"/>
            <w:vAlign w:val="center"/>
          </w:tcPr>
          <w:p w14:paraId="115DCBA9" w14:textId="77777777" w:rsidR="009D4B8A" w:rsidRPr="00A172CC" w:rsidRDefault="009D4B8A" w:rsidP="00FF7003"/>
        </w:tc>
      </w:tr>
      <w:tr w:rsidR="009D4B8A" w:rsidRPr="00A172CC" w14:paraId="0D3190A6" w14:textId="77777777" w:rsidTr="009D4B8A">
        <w:trPr>
          <w:trHeight w:hRule="exact" w:val="397"/>
        </w:trPr>
        <w:tc>
          <w:tcPr>
            <w:tcW w:w="2230" w:type="pct"/>
            <w:vAlign w:val="center"/>
          </w:tcPr>
          <w:p w14:paraId="54EF862A" w14:textId="77777777" w:rsidR="009D4B8A" w:rsidRPr="00A172CC" w:rsidRDefault="009D4B8A" w:rsidP="00FF7003">
            <w:r w:rsidRPr="00A172CC">
              <w:t>History of English Law</w:t>
            </w:r>
          </w:p>
        </w:tc>
        <w:tc>
          <w:tcPr>
            <w:tcW w:w="554" w:type="pct"/>
          </w:tcPr>
          <w:p w14:paraId="0814E190" w14:textId="77777777" w:rsidR="009D4B8A" w:rsidRPr="00A172CC" w:rsidRDefault="009D4B8A" w:rsidP="00FF7003"/>
        </w:tc>
        <w:tc>
          <w:tcPr>
            <w:tcW w:w="554" w:type="pct"/>
            <w:vAlign w:val="center"/>
          </w:tcPr>
          <w:p w14:paraId="03FAD1E7" w14:textId="67E2EFC2" w:rsidR="009D4B8A" w:rsidRPr="00A172CC" w:rsidRDefault="009D4B8A" w:rsidP="00FF7003"/>
        </w:tc>
        <w:tc>
          <w:tcPr>
            <w:tcW w:w="554" w:type="pct"/>
            <w:vAlign w:val="center"/>
          </w:tcPr>
          <w:p w14:paraId="485339D3" w14:textId="77777777" w:rsidR="009D4B8A" w:rsidRPr="00A172CC" w:rsidRDefault="009D4B8A" w:rsidP="00FF7003">
            <w:r w:rsidRPr="00A172CC">
              <w:t>1</w:t>
            </w:r>
          </w:p>
        </w:tc>
        <w:tc>
          <w:tcPr>
            <w:tcW w:w="554" w:type="pct"/>
            <w:vAlign w:val="center"/>
          </w:tcPr>
          <w:p w14:paraId="3BDE2241" w14:textId="77777777" w:rsidR="009D4B8A" w:rsidRPr="00A172CC" w:rsidRDefault="009D4B8A" w:rsidP="00FF7003"/>
        </w:tc>
        <w:tc>
          <w:tcPr>
            <w:tcW w:w="554" w:type="pct"/>
            <w:vAlign w:val="center"/>
          </w:tcPr>
          <w:p w14:paraId="53D4DFD8" w14:textId="77777777" w:rsidR="009D4B8A" w:rsidRPr="00A172CC" w:rsidRDefault="009D4B8A" w:rsidP="00FF7003"/>
        </w:tc>
      </w:tr>
      <w:tr w:rsidR="009D4B8A" w:rsidRPr="00A172CC" w14:paraId="5E3F20B0" w14:textId="77777777" w:rsidTr="009D4B8A">
        <w:trPr>
          <w:trHeight w:hRule="exact" w:val="397"/>
        </w:trPr>
        <w:tc>
          <w:tcPr>
            <w:tcW w:w="2230" w:type="pct"/>
            <w:vAlign w:val="center"/>
          </w:tcPr>
          <w:p w14:paraId="4186F337" w14:textId="77777777" w:rsidR="009D4B8A" w:rsidRPr="00A172CC" w:rsidRDefault="009D4B8A" w:rsidP="00FF7003">
            <w:r w:rsidRPr="00A172CC">
              <w:t>Human Rights Law</w:t>
            </w:r>
          </w:p>
        </w:tc>
        <w:tc>
          <w:tcPr>
            <w:tcW w:w="554" w:type="pct"/>
          </w:tcPr>
          <w:p w14:paraId="2D7F9882" w14:textId="77777777" w:rsidR="009D4B8A" w:rsidRPr="00A172CC" w:rsidRDefault="009D4B8A" w:rsidP="00FF7003"/>
        </w:tc>
        <w:tc>
          <w:tcPr>
            <w:tcW w:w="554" w:type="pct"/>
            <w:vAlign w:val="center"/>
          </w:tcPr>
          <w:p w14:paraId="712D66AF" w14:textId="241DFCFF" w:rsidR="009D4B8A" w:rsidRPr="00A172CC" w:rsidRDefault="009D4B8A" w:rsidP="00FF7003"/>
        </w:tc>
        <w:tc>
          <w:tcPr>
            <w:tcW w:w="554" w:type="pct"/>
            <w:vAlign w:val="center"/>
          </w:tcPr>
          <w:p w14:paraId="75C94261" w14:textId="77777777" w:rsidR="009D4B8A" w:rsidRPr="00A172CC" w:rsidRDefault="009D4B8A" w:rsidP="00FF7003"/>
        </w:tc>
        <w:tc>
          <w:tcPr>
            <w:tcW w:w="554" w:type="pct"/>
            <w:vAlign w:val="center"/>
          </w:tcPr>
          <w:p w14:paraId="4504785A" w14:textId="77777777" w:rsidR="009D4B8A" w:rsidRPr="00A172CC" w:rsidRDefault="009D4B8A" w:rsidP="00FF7003">
            <w:r w:rsidRPr="00A172CC">
              <w:t>4</w:t>
            </w:r>
          </w:p>
        </w:tc>
        <w:tc>
          <w:tcPr>
            <w:tcW w:w="554" w:type="pct"/>
            <w:vAlign w:val="center"/>
          </w:tcPr>
          <w:p w14:paraId="5789EAF0" w14:textId="77777777" w:rsidR="009D4B8A" w:rsidRPr="00A172CC" w:rsidRDefault="009D4B8A" w:rsidP="00FF7003">
            <w:r w:rsidRPr="00A172CC">
              <w:t>5</w:t>
            </w:r>
          </w:p>
        </w:tc>
      </w:tr>
      <w:tr w:rsidR="009D4B8A" w:rsidRPr="00A172CC" w14:paraId="4085CEC0" w14:textId="77777777" w:rsidTr="009D4B8A">
        <w:trPr>
          <w:trHeight w:hRule="exact" w:val="397"/>
        </w:trPr>
        <w:tc>
          <w:tcPr>
            <w:tcW w:w="2230" w:type="pct"/>
            <w:vAlign w:val="center"/>
          </w:tcPr>
          <w:p w14:paraId="36D5E28B" w14:textId="77777777" w:rsidR="009D4B8A" w:rsidRPr="00A172CC" w:rsidRDefault="009D4B8A" w:rsidP="00FF7003">
            <w:r w:rsidRPr="00A172CC">
              <w:t>Labour Law</w:t>
            </w:r>
          </w:p>
        </w:tc>
        <w:tc>
          <w:tcPr>
            <w:tcW w:w="554" w:type="pct"/>
          </w:tcPr>
          <w:p w14:paraId="11FE8E76" w14:textId="77777777" w:rsidR="009D4B8A" w:rsidRPr="00A172CC" w:rsidRDefault="009D4B8A" w:rsidP="00FF7003"/>
        </w:tc>
        <w:tc>
          <w:tcPr>
            <w:tcW w:w="554" w:type="pct"/>
            <w:vAlign w:val="center"/>
          </w:tcPr>
          <w:p w14:paraId="4660C9D5" w14:textId="130A6CD9" w:rsidR="009D4B8A" w:rsidRPr="00A172CC" w:rsidRDefault="009D4B8A" w:rsidP="00FF7003">
            <w:r w:rsidRPr="00A172CC">
              <w:t>1</w:t>
            </w:r>
          </w:p>
        </w:tc>
        <w:tc>
          <w:tcPr>
            <w:tcW w:w="554" w:type="pct"/>
            <w:vAlign w:val="center"/>
          </w:tcPr>
          <w:p w14:paraId="0A2BDA55" w14:textId="77777777" w:rsidR="009D4B8A" w:rsidRPr="00A172CC" w:rsidRDefault="009D4B8A" w:rsidP="00FF7003">
            <w:r w:rsidRPr="00A172CC">
              <w:t>2</w:t>
            </w:r>
          </w:p>
        </w:tc>
        <w:tc>
          <w:tcPr>
            <w:tcW w:w="554" w:type="pct"/>
            <w:vAlign w:val="center"/>
          </w:tcPr>
          <w:p w14:paraId="4F639C36" w14:textId="77777777" w:rsidR="009D4B8A" w:rsidRPr="00A172CC" w:rsidRDefault="009D4B8A" w:rsidP="00FF7003">
            <w:r w:rsidRPr="00A172CC">
              <w:t>3</w:t>
            </w:r>
          </w:p>
        </w:tc>
        <w:tc>
          <w:tcPr>
            <w:tcW w:w="554" w:type="pct"/>
            <w:vAlign w:val="center"/>
          </w:tcPr>
          <w:p w14:paraId="3B6C9956" w14:textId="77777777" w:rsidR="009D4B8A" w:rsidRPr="00A172CC" w:rsidRDefault="009D4B8A" w:rsidP="00FF7003">
            <w:r w:rsidRPr="00A172CC">
              <w:t>2</w:t>
            </w:r>
          </w:p>
        </w:tc>
      </w:tr>
      <w:tr w:rsidR="009D4B8A" w:rsidRPr="00A172CC" w14:paraId="6432C0A8" w14:textId="77777777" w:rsidTr="009D4B8A">
        <w:trPr>
          <w:trHeight w:hRule="exact" w:val="397"/>
        </w:trPr>
        <w:tc>
          <w:tcPr>
            <w:tcW w:w="2230" w:type="pct"/>
            <w:vAlign w:val="center"/>
          </w:tcPr>
          <w:p w14:paraId="68597BBB" w14:textId="77777777" w:rsidR="009D4B8A" w:rsidRPr="00A172CC" w:rsidRDefault="009D4B8A" w:rsidP="00FF7003">
            <w:r w:rsidRPr="00A172CC">
              <w:t>Media Law</w:t>
            </w:r>
          </w:p>
        </w:tc>
        <w:tc>
          <w:tcPr>
            <w:tcW w:w="554" w:type="pct"/>
          </w:tcPr>
          <w:p w14:paraId="7A6B8DBD" w14:textId="0759EFCB" w:rsidR="009D4B8A" w:rsidRPr="00A172CC" w:rsidRDefault="0050201C" w:rsidP="00FF7003">
            <w:r>
              <w:t>2</w:t>
            </w:r>
          </w:p>
        </w:tc>
        <w:tc>
          <w:tcPr>
            <w:tcW w:w="554" w:type="pct"/>
            <w:vAlign w:val="center"/>
          </w:tcPr>
          <w:p w14:paraId="4BECA8EC" w14:textId="6DABFF3C" w:rsidR="009D4B8A" w:rsidRPr="00A172CC" w:rsidRDefault="009D4B8A" w:rsidP="00FF7003">
            <w:r w:rsidRPr="00A172CC">
              <w:t>1</w:t>
            </w:r>
          </w:p>
        </w:tc>
        <w:tc>
          <w:tcPr>
            <w:tcW w:w="554" w:type="pct"/>
            <w:vAlign w:val="center"/>
          </w:tcPr>
          <w:p w14:paraId="51194677" w14:textId="77777777" w:rsidR="009D4B8A" w:rsidRPr="00A172CC" w:rsidRDefault="009D4B8A" w:rsidP="00FF7003"/>
        </w:tc>
        <w:tc>
          <w:tcPr>
            <w:tcW w:w="554" w:type="pct"/>
            <w:vAlign w:val="center"/>
          </w:tcPr>
          <w:p w14:paraId="51B1302D" w14:textId="77777777" w:rsidR="009D4B8A" w:rsidRPr="00A172CC" w:rsidRDefault="009D4B8A" w:rsidP="00FF7003"/>
        </w:tc>
        <w:tc>
          <w:tcPr>
            <w:tcW w:w="554" w:type="pct"/>
            <w:vAlign w:val="center"/>
          </w:tcPr>
          <w:p w14:paraId="15920C3C" w14:textId="77777777" w:rsidR="009D4B8A" w:rsidRPr="00A172CC" w:rsidRDefault="009D4B8A" w:rsidP="00FF7003"/>
        </w:tc>
      </w:tr>
      <w:tr w:rsidR="009D4B8A" w:rsidRPr="00A172CC" w14:paraId="6826F238" w14:textId="77777777" w:rsidTr="009D4B8A">
        <w:trPr>
          <w:trHeight w:hRule="exact" w:val="397"/>
        </w:trPr>
        <w:tc>
          <w:tcPr>
            <w:tcW w:w="2230" w:type="pct"/>
            <w:vAlign w:val="center"/>
          </w:tcPr>
          <w:p w14:paraId="0A15CF7E" w14:textId="77777777" w:rsidR="009D4B8A" w:rsidRPr="00A172CC" w:rsidRDefault="009D4B8A" w:rsidP="00FF7003">
            <w:r w:rsidRPr="00A172CC">
              <w:t>Medical Law and Ethics</w:t>
            </w:r>
          </w:p>
        </w:tc>
        <w:tc>
          <w:tcPr>
            <w:tcW w:w="554" w:type="pct"/>
          </w:tcPr>
          <w:p w14:paraId="548867CA" w14:textId="77777777" w:rsidR="009D4B8A" w:rsidRPr="00A172CC" w:rsidRDefault="009D4B8A" w:rsidP="00FF7003"/>
        </w:tc>
        <w:tc>
          <w:tcPr>
            <w:tcW w:w="554" w:type="pct"/>
            <w:vAlign w:val="center"/>
          </w:tcPr>
          <w:p w14:paraId="01C5BBD1" w14:textId="0B299010" w:rsidR="009D4B8A" w:rsidRPr="00A172CC" w:rsidRDefault="009D4B8A" w:rsidP="00FF7003"/>
        </w:tc>
        <w:tc>
          <w:tcPr>
            <w:tcW w:w="554" w:type="pct"/>
            <w:vAlign w:val="center"/>
          </w:tcPr>
          <w:p w14:paraId="19C2E665" w14:textId="77777777" w:rsidR="009D4B8A" w:rsidRPr="00A172CC" w:rsidRDefault="009D4B8A" w:rsidP="00FF7003">
            <w:r w:rsidRPr="00A172CC">
              <w:t>4</w:t>
            </w:r>
          </w:p>
        </w:tc>
        <w:tc>
          <w:tcPr>
            <w:tcW w:w="554" w:type="pct"/>
            <w:vAlign w:val="center"/>
          </w:tcPr>
          <w:p w14:paraId="650D5D46" w14:textId="77777777" w:rsidR="009D4B8A" w:rsidRPr="00A172CC" w:rsidRDefault="009D4B8A" w:rsidP="00FF7003">
            <w:r w:rsidRPr="00A172CC">
              <w:t>3</w:t>
            </w:r>
          </w:p>
        </w:tc>
        <w:tc>
          <w:tcPr>
            <w:tcW w:w="554" w:type="pct"/>
            <w:vAlign w:val="center"/>
          </w:tcPr>
          <w:p w14:paraId="4CC03A32" w14:textId="77777777" w:rsidR="009D4B8A" w:rsidRPr="00A172CC" w:rsidRDefault="009D4B8A" w:rsidP="00FF7003"/>
        </w:tc>
      </w:tr>
      <w:tr w:rsidR="009D4B8A" w:rsidRPr="00A172CC" w14:paraId="25E06ADC" w14:textId="77777777" w:rsidTr="009D4B8A">
        <w:trPr>
          <w:trHeight w:hRule="exact" w:val="397"/>
        </w:trPr>
        <w:tc>
          <w:tcPr>
            <w:tcW w:w="2230" w:type="pct"/>
            <w:vAlign w:val="center"/>
          </w:tcPr>
          <w:p w14:paraId="39272B1B" w14:textId="77777777" w:rsidR="009D4B8A" w:rsidRPr="00A172CC" w:rsidRDefault="009D4B8A" w:rsidP="00FF7003">
            <w:r w:rsidRPr="00A172CC">
              <w:t>Public International Law</w:t>
            </w:r>
          </w:p>
        </w:tc>
        <w:tc>
          <w:tcPr>
            <w:tcW w:w="554" w:type="pct"/>
          </w:tcPr>
          <w:p w14:paraId="4D609429" w14:textId="2050EE07" w:rsidR="009D4B8A" w:rsidRPr="00A172CC" w:rsidRDefault="0050201C" w:rsidP="00FF7003">
            <w:r>
              <w:t>6</w:t>
            </w:r>
          </w:p>
        </w:tc>
        <w:tc>
          <w:tcPr>
            <w:tcW w:w="554" w:type="pct"/>
            <w:vAlign w:val="center"/>
          </w:tcPr>
          <w:p w14:paraId="2EAD7FB4" w14:textId="10029025" w:rsidR="009D4B8A" w:rsidRPr="00A172CC" w:rsidRDefault="009D4B8A" w:rsidP="00FF7003">
            <w:r w:rsidRPr="00A172CC">
              <w:t>5</w:t>
            </w:r>
          </w:p>
        </w:tc>
        <w:tc>
          <w:tcPr>
            <w:tcW w:w="554" w:type="pct"/>
            <w:vAlign w:val="center"/>
          </w:tcPr>
          <w:p w14:paraId="5108EE83" w14:textId="77777777" w:rsidR="009D4B8A" w:rsidRPr="00A172CC" w:rsidRDefault="009D4B8A" w:rsidP="00FF7003">
            <w:r w:rsidRPr="00A172CC">
              <w:t>9</w:t>
            </w:r>
          </w:p>
        </w:tc>
        <w:tc>
          <w:tcPr>
            <w:tcW w:w="554" w:type="pct"/>
            <w:vAlign w:val="center"/>
          </w:tcPr>
          <w:p w14:paraId="5EB2F46D" w14:textId="77777777" w:rsidR="009D4B8A" w:rsidRPr="00A172CC" w:rsidRDefault="009D4B8A" w:rsidP="00FF7003">
            <w:r w:rsidRPr="00A172CC">
              <w:t>5</w:t>
            </w:r>
          </w:p>
        </w:tc>
        <w:tc>
          <w:tcPr>
            <w:tcW w:w="554" w:type="pct"/>
            <w:vAlign w:val="center"/>
          </w:tcPr>
          <w:p w14:paraId="1257D576" w14:textId="77777777" w:rsidR="009D4B8A" w:rsidRPr="00A172CC" w:rsidRDefault="009D4B8A" w:rsidP="00FF7003">
            <w:r w:rsidRPr="00A172CC">
              <w:t>3</w:t>
            </w:r>
          </w:p>
        </w:tc>
      </w:tr>
      <w:tr w:rsidR="009D4B8A" w:rsidRPr="00A172CC" w14:paraId="2A89A333" w14:textId="77777777" w:rsidTr="009D4B8A">
        <w:trPr>
          <w:trHeight w:hRule="exact" w:val="397"/>
        </w:trPr>
        <w:tc>
          <w:tcPr>
            <w:tcW w:w="2230" w:type="pct"/>
            <w:vAlign w:val="center"/>
          </w:tcPr>
          <w:p w14:paraId="2D705244" w14:textId="77777777" w:rsidR="009D4B8A" w:rsidRPr="00A172CC" w:rsidRDefault="009D4B8A" w:rsidP="00FF7003">
            <w:r w:rsidRPr="00A172CC">
              <w:t>Roman Law (Delict)</w:t>
            </w:r>
          </w:p>
        </w:tc>
        <w:tc>
          <w:tcPr>
            <w:tcW w:w="554" w:type="pct"/>
          </w:tcPr>
          <w:p w14:paraId="3FBE36BB" w14:textId="77777777" w:rsidR="009D4B8A" w:rsidRPr="00A172CC" w:rsidRDefault="009D4B8A" w:rsidP="00FF7003"/>
        </w:tc>
        <w:tc>
          <w:tcPr>
            <w:tcW w:w="554" w:type="pct"/>
            <w:vAlign w:val="center"/>
          </w:tcPr>
          <w:p w14:paraId="4910B419" w14:textId="0D20D5FE" w:rsidR="009D4B8A" w:rsidRPr="00A172CC" w:rsidRDefault="009D4B8A" w:rsidP="00FF7003">
            <w:r w:rsidRPr="00A172CC">
              <w:t>2</w:t>
            </w:r>
          </w:p>
        </w:tc>
        <w:tc>
          <w:tcPr>
            <w:tcW w:w="554" w:type="pct"/>
            <w:vAlign w:val="center"/>
          </w:tcPr>
          <w:p w14:paraId="20DA022B" w14:textId="77777777" w:rsidR="009D4B8A" w:rsidRPr="00A172CC" w:rsidRDefault="009D4B8A" w:rsidP="00FF7003"/>
        </w:tc>
        <w:tc>
          <w:tcPr>
            <w:tcW w:w="554" w:type="pct"/>
            <w:vAlign w:val="center"/>
          </w:tcPr>
          <w:p w14:paraId="6691F25A" w14:textId="77777777" w:rsidR="009D4B8A" w:rsidRPr="00A172CC" w:rsidRDefault="009D4B8A" w:rsidP="00FF7003">
            <w:r w:rsidRPr="00A172CC">
              <w:t>1</w:t>
            </w:r>
          </w:p>
        </w:tc>
        <w:tc>
          <w:tcPr>
            <w:tcW w:w="554" w:type="pct"/>
            <w:vAlign w:val="center"/>
          </w:tcPr>
          <w:p w14:paraId="080B5285" w14:textId="77777777" w:rsidR="009D4B8A" w:rsidRPr="00A172CC" w:rsidRDefault="009D4B8A" w:rsidP="00FF7003"/>
        </w:tc>
      </w:tr>
      <w:tr w:rsidR="009D4B8A" w:rsidRPr="00A172CC" w14:paraId="1C41B90A" w14:textId="77777777" w:rsidTr="009D4B8A">
        <w:trPr>
          <w:trHeight w:hRule="exact" w:val="397"/>
        </w:trPr>
        <w:tc>
          <w:tcPr>
            <w:tcW w:w="2230" w:type="pct"/>
            <w:vAlign w:val="center"/>
          </w:tcPr>
          <w:p w14:paraId="7D46B6F0" w14:textId="77777777" w:rsidR="009D4B8A" w:rsidRPr="00A172CC" w:rsidRDefault="009D4B8A" w:rsidP="00FF7003">
            <w:r w:rsidRPr="00A172CC">
              <w:t>Taxation Law</w:t>
            </w:r>
          </w:p>
        </w:tc>
        <w:tc>
          <w:tcPr>
            <w:tcW w:w="554" w:type="pct"/>
          </w:tcPr>
          <w:p w14:paraId="50846D62" w14:textId="5BC84D9F" w:rsidR="009D4B8A" w:rsidRPr="00A172CC" w:rsidRDefault="0050201C" w:rsidP="00FF7003">
            <w:r>
              <w:t>2</w:t>
            </w:r>
          </w:p>
        </w:tc>
        <w:tc>
          <w:tcPr>
            <w:tcW w:w="554" w:type="pct"/>
            <w:vAlign w:val="center"/>
          </w:tcPr>
          <w:p w14:paraId="1CE5061B" w14:textId="7F468C61" w:rsidR="009D4B8A" w:rsidRPr="00A172CC" w:rsidRDefault="009D4B8A" w:rsidP="00FF7003"/>
        </w:tc>
        <w:tc>
          <w:tcPr>
            <w:tcW w:w="554" w:type="pct"/>
            <w:vAlign w:val="center"/>
          </w:tcPr>
          <w:p w14:paraId="19280976" w14:textId="77777777" w:rsidR="009D4B8A" w:rsidRPr="00A172CC" w:rsidRDefault="009D4B8A" w:rsidP="00FF7003">
            <w:r w:rsidRPr="00A172CC">
              <w:t>4</w:t>
            </w:r>
          </w:p>
        </w:tc>
        <w:tc>
          <w:tcPr>
            <w:tcW w:w="554" w:type="pct"/>
            <w:vAlign w:val="center"/>
          </w:tcPr>
          <w:p w14:paraId="2FFFAA91" w14:textId="77777777" w:rsidR="009D4B8A" w:rsidRPr="00A172CC" w:rsidRDefault="009D4B8A" w:rsidP="00FF7003"/>
        </w:tc>
        <w:tc>
          <w:tcPr>
            <w:tcW w:w="554" w:type="pct"/>
            <w:vAlign w:val="center"/>
          </w:tcPr>
          <w:p w14:paraId="7E3F4713" w14:textId="77777777" w:rsidR="009D4B8A" w:rsidRPr="00A172CC" w:rsidRDefault="009D4B8A" w:rsidP="00FF7003"/>
        </w:tc>
      </w:tr>
      <w:tr w:rsidR="009D4B8A" w:rsidRPr="00A172CC" w14:paraId="12376933" w14:textId="77777777" w:rsidTr="009D4B8A">
        <w:trPr>
          <w:trHeight w:hRule="exact" w:val="397"/>
        </w:trPr>
        <w:tc>
          <w:tcPr>
            <w:tcW w:w="2230" w:type="pct"/>
            <w:vAlign w:val="center"/>
          </w:tcPr>
          <w:p w14:paraId="20648269" w14:textId="77777777" w:rsidR="009D4B8A" w:rsidRPr="00A172CC" w:rsidRDefault="009D4B8A" w:rsidP="00FF7003">
            <w:r w:rsidRPr="00A172CC">
              <w:t>Tort</w:t>
            </w:r>
          </w:p>
        </w:tc>
        <w:tc>
          <w:tcPr>
            <w:tcW w:w="554" w:type="pct"/>
          </w:tcPr>
          <w:p w14:paraId="5A2657E0" w14:textId="4D47F35C" w:rsidR="009D4B8A" w:rsidRPr="00A172CC" w:rsidRDefault="0050201C" w:rsidP="00FF7003">
            <w:r>
              <w:t>23</w:t>
            </w:r>
          </w:p>
        </w:tc>
        <w:tc>
          <w:tcPr>
            <w:tcW w:w="554" w:type="pct"/>
            <w:vAlign w:val="center"/>
          </w:tcPr>
          <w:p w14:paraId="4AEBBE73" w14:textId="03652418" w:rsidR="009D4B8A" w:rsidRPr="00A172CC" w:rsidRDefault="009D4B8A" w:rsidP="00FF7003">
            <w:r w:rsidRPr="00A172CC">
              <w:t>17</w:t>
            </w:r>
          </w:p>
        </w:tc>
        <w:tc>
          <w:tcPr>
            <w:tcW w:w="554" w:type="pct"/>
            <w:vAlign w:val="center"/>
          </w:tcPr>
          <w:p w14:paraId="50F6267B" w14:textId="77777777" w:rsidR="009D4B8A" w:rsidRPr="00A172CC" w:rsidRDefault="009D4B8A" w:rsidP="00FF7003">
            <w:r w:rsidRPr="00A172CC">
              <w:t>23</w:t>
            </w:r>
          </w:p>
        </w:tc>
        <w:tc>
          <w:tcPr>
            <w:tcW w:w="554" w:type="pct"/>
            <w:vAlign w:val="center"/>
          </w:tcPr>
          <w:p w14:paraId="0E2F1B52" w14:textId="77777777" w:rsidR="009D4B8A" w:rsidRPr="00A172CC" w:rsidRDefault="009D4B8A" w:rsidP="00FF7003">
            <w:r w:rsidRPr="00A172CC">
              <w:t>23</w:t>
            </w:r>
          </w:p>
        </w:tc>
        <w:tc>
          <w:tcPr>
            <w:tcW w:w="554" w:type="pct"/>
            <w:vAlign w:val="center"/>
          </w:tcPr>
          <w:p w14:paraId="4037DC13" w14:textId="77777777" w:rsidR="009D4B8A" w:rsidRPr="00A172CC" w:rsidRDefault="009D4B8A" w:rsidP="00FF7003">
            <w:r w:rsidRPr="00A172CC">
              <w:t>22</w:t>
            </w:r>
          </w:p>
        </w:tc>
      </w:tr>
      <w:tr w:rsidR="009D4B8A" w:rsidRPr="00A172CC" w14:paraId="226DA55D" w14:textId="77777777" w:rsidTr="009D4B8A">
        <w:trPr>
          <w:trHeight w:hRule="exact" w:val="397"/>
        </w:trPr>
        <w:tc>
          <w:tcPr>
            <w:tcW w:w="2230" w:type="pct"/>
            <w:vAlign w:val="center"/>
          </w:tcPr>
          <w:p w14:paraId="72CB73B6" w14:textId="77777777" w:rsidR="009D4B8A" w:rsidRPr="00A172CC" w:rsidRDefault="009D4B8A" w:rsidP="00FF7003">
            <w:r w:rsidRPr="00A172CC">
              <w:t>Trusts</w:t>
            </w:r>
          </w:p>
        </w:tc>
        <w:tc>
          <w:tcPr>
            <w:tcW w:w="554" w:type="pct"/>
          </w:tcPr>
          <w:p w14:paraId="61C11444" w14:textId="5C4FE191" w:rsidR="009D4B8A" w:rsidRPr="00A172CC" w:rsidRDefault="0050201C" w:rsidP="00FF7003">
            <w:r>
              <w:t>2</w:t>
            </w:r>
          </w:p>
        </w:tc>
        <w:tc>
          <w:tcPr>
            <w:tcW w:w="554" w:type="pct"/>
            <w:vAlign w:val="center"/>
          </w:tcPr>
          <w:p w14:paraId="0222F113" w14:textId="0C061E32" w:rsidR="009D4B8A" w:rsidRPr="00A172CC" w:rsidRDefault="009D4B8A" w:rsidP="00FF7003">
            <w:r w:rsidRPr="00A172CC">
              <w:t>1</w:t>
            </w:r>
          </w:p>
        </w:tc>
        <w:tc>
          <w:tcPr>
            <w:tcW w:w="554" w:type="pct"/>
            <w:vAlign w:val="center"/>
          </w:tcPr>
          <w:p w14:paraId="1187255F" w14:textId="77777777" w:rsidR="009D4B8A" w:rsidRPr="00A172CC" w:rsidRDefault="009D4B8A" w:rsidP="00FF7003">
            <w:r w:rsidRPr="00A172CC">
              <w:t>4</w:t>
            </w:r>
          </w:p>
        </w:tc>
        <w:tc>
          <w:tcPr>
            <w:tcW w:w="554" w:type="pct"/>
            <w:vAlign w:val="center"/>
          </w:tcPr>
          <w:p w14:paraId="08B15B39" w14:textId="77777777" w:rsidR="009D4B8A" w:rsidRPr="00A172CC" w:rsidRDefault="009D4B8A" w:rsidP="00FF7003">
            <w:r w:rsidRPr="00A172CC">
              <w:t>4</w:t>
            </w:r>
          </w:p>
        </w:tc>
        <w:tc>
          <w:tcPr>
            <w:tcW w:w="554" w:type="pct"/>
            <w:vAlign w:val="center"/>
          </w:tcPr>
          <w:p w14:paraId="17055C8C" w14:textId="77777777" w:rsidR="009D4B8A" w:rsidRPr="00A172CC" w:rsidRDefault="009D4B8A" w:rsidP="00FF7003">
            <w:r w:rsidRPr="00A172CC">
              <w:t>4</w:t>
            </w:r>
          </w:p>
        </w:tc>
      </w:tr>
    </w:tbl>
    <w:p w14:paraId="69A645EF" w14:textId="77777777" w:rsidR="009D4B8A" w:rsidRPr="00A172CC" w:rsidRDefault="009D4B8A" w:rsidP="009D4B8A"/>
    <w:p w14:paraId="26E939EC" w14:textId="77777777" w:rsidR="00FF7003" w:rsidRPr="00A172CC" w:rsidRDefault="00FF7003" w:rsidP="00FF7003">
      <w:pPr>
        <w:sectPr w:rsidR="00FF7003" w:rsidRPr="00A172CC" w:rsidSect="00FF7003">
          <w:headerReference w:type="default" r:id="rId8"/>
          <w:footerReference w:type="default" r:id="rId9"/>
          <w:headerReference w:type="first" r:id="rId10"/>
          <w:pgSz w:w="11906" w:h="16838"/>
          <w:pgMar w:top="1440" w:right="1440" w:bottom="1134" w:left="1440" w:header="624" w:footer="708" w:gutter="0"/>
          <w:pgNumType w:start="1"/>
          <w:cols w:space="708"/>
          <w:titlePg/>
          <w:docGrid w:linePitch="360"/>
        </w:sectPr>
      </w:pPr>
      <w:r w:rsidRPr="00A172CC">
        <w:t>The distribution below is shown as percentages. Where 0 is shown, less than 0.5% of students fell into this range. A blank field indicates that no students fell into this range.</w:t>
      </w:r>
    </w:p>
    <w:tbl>
      <w:tblPr>
        <w:tblW w:w="147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8"/>
        <w:gridCol w:w="1001"/>
        <w:gridCol w:w="791"/>
        <w:gridCol w:w="792"/>
        <w:gridCol w:w="791"/>
        <w:gridCol w:w="792"/>
        <w:gridCol w:w="791"/>
        <w:gridCol w:w="792"/>
        <w:gridCol w:w="791"/>
        <w:gridCol w:w="792"/>
        <w:gridCol w:w="791"/>
        <w:gridCol w:w="792"/>
        <w:gridCol w:w="791"/>
        <w:gridCol w:w="792"/>
      </w:tblGrid>
      <w:tr w:rsidR="00FF7003" w:rsidRPr="00A172CC" w14:paraId="12A3EE7C" w14:textId="77777777" w:rsidTr="00FF7003">
        <w:trPr>
          <w:tblHeader/>
        </w:trPr>
        <w:tc>
          <w:tcPr>
            <w:tcW w:w="4208" w:type="dxa"/>
            <w:tcBorders>
              <w:top w:val="nil"/>
              <w:left w:val="nil"/>
            </w:tcBorders>
            <w:vAlign w:val="center"/>
          </w:tcPr>
          <w:p w14:paraId="565B0C5D" w14:textId="77777777" w:rsidR="00FF7003" w:rsidRPr="00A172CC" w:rsidRDefault="00FF7003" w:rsidP="00FF7003"/>
        </w:tc>
        <w:tc>
          <w:tcPr>
            <w:tcW w:w="1001" w:type="dxa"/>
            <w:vAlign w:val="center"/>
          </w:tcPr>
          <w:p w14:paraId="7DF62F70" w14:textId="77777777" w:rsidR="00FF7003" w:rsidRPr="00A172CC" w:rsidRDefault="00FF7003" w:rsidP="00FF7003">
            <w:r w:rsidRPr="00A172CC">
              <w:t>Student Count</w:t>
            </w:r>
          </w:p>
        </w:tc>
        <w:tc>
          <w:tcPr>
            <w:tcW w:w="791" w:type="dxa"/>
            <w:vAlign w:val="center"/>
          </w:tcPr>
          <w:p w14:paraId="6886CBDA" w14:textId="77777777" w:rsidR="00FF7003" w:rsidRPr="00A172CC" w:rsidRDefault="00FF7003" w:rsidP="00FF7003">
            <w:r w:rsidRPr="00A172CC">
              <w:t>75-79</w:t>
            </w:r>
          </w:p>
        </w:tc>
        <w:tc>
          <w:tcPr>
            <w:tcW w:w="792" w:type="dxa"/>
            <w:vAlign w:val="center"/>
          </w:tcPr>
          <w:p w14:paraId="16476741" w14:textId="77777777" w:rsidR="00FF7003" w:rsidRPr="00A172CC" w:rsidRDefault="00FF7003" w:rsidP="00FF7003">
            <w:r w:rsidRPr="00A172CC">
              <w:t>71-74</w:t>
            </w:r>
          </w:p>
        </w:tc>
        <w:tc>
          <w:tcPr>
            <w:tcW w:w="791" w:type="dxa"/>
            <w:vAlign w:val="center"/>
          </w:tcPr>
          <w:p w14:paraId="4C50E228" w14:textId="77777777" w:rsidR="00FF7003" w:rsidRPr="00A172CC" w:rsidRDefault="00FF7003" w:rsidP="00FF7003">
            <w:r w:rsidRPr="00A172CC">
              <w:t>70</w:t>
            </w:r>
          </w:p>
        </w:tc>
        <w:tc>
          <w:tcPr>
            <w:tcW w:w="792" w:type="dxa"/>
            <w:vAlign w:val="center"/>
          </w:tcPr>
          <w:p w14:paraId="5601058D" w14:textId="77777777" w:rsidR="00FF7003" w:rsidRPr="00A172CC" w:rsidRDefault="00FF7003" w:rsidP="00FF7003">
            <w:r w:rsidRPr="00A172CC">
              <w:t>68-69</w:t>
            </w:r>
          </w:p>
        </w:tc>
        <w:tc>
          <w:tcPr>
            <w:tcW w:w="791" w:type="dxa"/>
            <w:vAlign w:val="center"/>
          </w:tcPr>
          <w:p w14:paraId="003ED715" w14:textId="77777777" w:rsidR="00FF7003" w:rsidRPr="00A172CC" w:rsidRDefault="00FF7003" w:rsidP="00FF7003">
            <w:r w:rsidRPr="00A172CC">
              <w:t>65-67</w:t>
            </w:r>
          </w:p>
        </w:tc>
        <w:tc>
          <w:tcPr>
            <w:tcW w:w="792" w:type="dxa"/>
            <w:vAlign w:val="center"/>
          </w:tcPr>
          <w:p w14:paraId="05CDE07A" w14:textId="77777777" w:rsidR="00FF7003" w:rsidRPr="00A172CC" w:rsidRDefault="00FF7003" w:rsidP="00FF7003">
            <w:r w:rsidRPr="00A172CC">
              <w:t>61-64</w:t>
            </w:r>
          </w:p>
        </w:tc>
        <w:tc>
          <w:tcPr>
            <w:tcW w:w="791" w:type="dxa"/>
            <w:vAlign w:val="center"/>
          </w:tcPr>
          <w:p w14:paraId="4629635D" w14:textId="77777777" w:rsidR="00FF7003" w:rsidRPr="00A172CC" w:rsidRDefault="00FF7003" w:rsidP="00FF7003">
            <w:r w:rsidRPr="00A172CC">
              <w:t>60</w:t>
            </w:r>
          </w:p>
        </w:tc>
        <w:tc>
          <w:tcPr>
            <w:tcW w:w="792" w:type="dxa"/>
            <w:vAlign w:val="center"/>
          </w:tcPr>
          <w:p w14:paraId="3CD5D418" w14:textId="77777777" w:rsidR="00FF7003" w:rsidRPr="00A172CC" w:rsidRDefault="00FF7003" w:rsidP="00FF7003">
            <w:r w:rsidRPr="00A172CC">
              <w:t>58-59</w:t>
            </w:r>
          </w:p>
        </w:tc>
        <w:tc>
          <w:tcPr>
            <w:tcW w:w="791" w:type="dxa"/>
            <w:vAlign w:val="center"/>
          </w:tcPr>
          <w:p w14:paraId="7236603A" w14:textId="77777777" w:rsidR="00FF7003" w:rsidRPr="00A172CC" w:rsidRDefault="00FF7003" w:rsidP="00FF7003">
            <w:r w:rsidRPr="00A172CC">
              <w:t>50-57</w:t>
            </w:r>
          </w:p>
        </w:tc>
        <w:tc>
          <w:tcPr>
            <w:tcW w:w="792" w:type="dxa"/>
            <w:vAlign w:val="center"/>
          </w:tcPr>
          <w:p w14:paraId="2B168429" w14:textId="77777777" w:rsidR="00FF7003" w:rsidRPr="00A172CC" w:rsidRDefault="00FF7003" w:rsidP="00FF7003">
            <w:r w:rsidRPr="00A172CC">
              <w:t>48-49</w:t>
            </w:r>
          </w:p>
        </w:tc>
        <w:tc>
          <w:tcPr>
            <w:tcW w:w="791" w:type="dxa"/>
            <w:vAlign w:val="center"/>
          </w:tcPr>
          <w:p w14:paraId="19D8F2BC" w14:textId="77777777" w:rsidR="00FF7003" w:rsidRPr="00A172CC" w:rsidRDefault="00FF7003" w:rsidP="00FF7003">
            <w:r w:rsidRPr="00A172CC">
              <w:t>40-47</w:t>
            </w:r>
          </w:p>
        </w:tc>
        <w:tc>
          <w:tcPr>
            <w:tcW w:w="792" w:type="dxa"/>
            <w:vAlign w:val="center"/>
          </w:tcPr>
          <w:p w14:paraId="32E4E7F8" w14:textId="77777777" w:rsidR="00FF7003" w:rsidRPr="00A172CC" w:rsidRDefault="00FF7003" w:rsidP="00FF7003">
            <w:r w:rsidRPr="00A172CC">
              <w:t>39 or less</w:t>
            </w:r>
          </w:p>
        </w:tc>
      </w:tr>
      <w:tr w:rsidR="00FF7003" w:rsidRPr="00A172CC" w14:paraId="33DF9D24" w14:textId="77777777" w:rsidTr="00FF7003">
        <w:trPr>
          <w:trHeight w:hRule="exact" w:val="397"/>
        </w:trPr>
        <w:tc>
          <w:tcPr>
            <w:tcW w:w="4208" w:type="dxa"/>
            <w:vAlign w:val="center"/>
          </w:tcPr>
          <w:p w14:paraId="3600D946" w14:textId="77777777" w:rsidR="00FF7003" w:rsidRPr="00A172CC" w:rsidRDefault="00FF7003" w:rsidP="00FF7003">
            <w:pPr>
              <w:rPr>
                <w:highlight w:val="yellow"/>
              </w:rPr>
            </w:pPr>
            <w:r w:rsidRPr="00A172CC">
              <w:t>Administrative Law</w:t>
            </w:r>
          </w:p>
        </w:tc>
        <w:tc>
          <w:tcPr>
            <w:tcW w:w="1001" w:type="dxa"/>
            <w:vAlign w:val="center"/>
          </w:tcPr>
          <w:p w14:paraId="599C1E2E" w14:textId="3056F7A8" w:rsidR="00FF7003" w:rsidRPr="00A172CC" w:rsidRDefault="00FF7003" w:rsidP="00FF7003">
            <w:r>
              <w:t>200</w:t>
            </w:r>
          </w:p>
        </w:tc>
        <w:tc>
          <w:tcPr>
            <w:tcW w:w="791" w:type="dxa"/>
            <w:vAlign w:val="center"/>
          </w:tcPr>
          <w:p w14:paraId="553EBD0D" w14:textId="1720B293" w:rsidR="00FF7003" w:rsidRPr="00A172CC" w:rsidRDefault="00FF7003" w:rsidP="00FF7003"/>
        </w:tc>
        <w:tc>
          <w:tcPr>
            <w:tcW w:w="792" w:type="dxa"/>
            <w:vAlign w:val="center"/>
          </w:tcPr>
          <w:p w14:paraId="62E77C9A" w14:textId="72E004AF" w:rsidR="00FF7003" w:rsidRPr="00A172CC" w:rsidRDefault="00540749" w:rsidP="00FF7003">
            <w:r>
              <w:t>8</w:t>
            </w:r>
          </w:p>
        </w:tc>
        <w:tc>
          <w:tcPr>
            <w:tcW w:w="791" w:type="dxa"/>
            <w:vAlign w:val="center"/>
          </w:tcPr>
          <w:p w14:paraId="65A41AD3" w14:textId="634E0DE5" w:rsidR="00FF7003" w:rsidRPr="00A172CC" w:rsidRDefault="00FF7003" w:rsidP="00FF7003">
            <w:r>
              <w:t>17</w:t>
            </w:r>
          </w:p>
        </w:tc>
        <w:tc>
          <w:tcPr>
            <w:tcW w:w="792" w:type="dxa"/>
            <w:vAlign w:val="center"/>
          </w:tcPr>
          <w:p w14:paraId="63A60CA8" w14:textId="3E220820" w:rsidR="00FF7003" w:rsidRPr="00A172CC" w:rsidRDefault="00FF7003" w:rsidP="00FF7003">
            <w:r>
              <w:t>14</w:t>
            </w:r>
          </w:p>
        </w:tc>
        <w:tc>
          <w:tcPr>
            <w:tcW w:w="791" w:type="dxa"/>
            <w:vAlign w:val="center"/>
          </w:tcPr>
          <w:p w14:paraId="74407A78" w14:textId="2A263237" w:rsidR="00FF7003" w:rsidRPr="00A172CC" w:rsidRDefault="00FF7003" w:rsidP="00FF7003">
            <w:r>
              <w:t>3</w:t>
            </w:r>
            <w:r w:rsidR="00BE0F3D">
              <w:t>2</w:t>
            </w:r>
          </w:p>
        </w:tc>
        <w:tc>
          <w:tcPr>
            <w:tcW w:w="792" w:type="dxa"/>
            <w:vAlign w:val="center"/>
          </w:tcPr>
          <w:p w14:paraId="68A74DF2" w14:textId="27FF56D0" w:rsidR="00FF7003" w:rsidRPr="00A172CC" w:rsidRDefault="00FF7003" w:rsidP="00FF7003">
            <w:r>
              <w:t>2</w:t>
            </w:r>
            <w:r w:rsidR="00BE0F3D">
              <w:t>2</w:t>
            </w:r>
          </w:p>
        </w:tc>
        <w:tc>
          <w:tcPr>
            <w:tcW w:w="791" w:type="dxa"/>
            <w:vAlign w:val="center"/>
          </w:tcPr>
          <w:p w14:paraId="75661C98" w14:textId="38C90362" w:rsidR="00FF7003" w:rsidRPr="00A172CC" w:rsidRDefault="00FF7003" w:rsidP="00FF7003">
            <w:r>
              <w:t>3</w:t>
            </w:r>
          </w:p>
        </w:tc>
        <w:tc>
          <w:tcPr>
            <w:tcW w:w="792" w:type="dxa"/>
            <w:vAlign w:val="center"/>
          </w:tcPr>
          <w:p w14:paraId="6963F1B2" w14:textId="40AD8CB2" w:rsidR="00FF7003" w:rsidRPr="00A172CC" w:rsidRDefault="00FF7003" w:rsidP="00FF7003">
            <w:r>
              <w:t>2</w:t>
            </w:r>
          </w:p>
        </w:tc>
        <w:tc>
          <w:tcPr>
            <w:tcW w:w="791" w:type="dxa"/>
            <w:vAlign w:val="center"/>
          </w:tcPr>
          <w:p w14:paraId="3A3C2AE2" w14:textId="303020DE" w:rsidR="00FF7003" w:rsidRPr="00A172CC" w:rsidRDefault="00FF7003" w:rsidP="00FF7003">
            <w:r>
              <w:t>2</w:t>
            </w:r>
          </w:p>
        </w:tc>
        <w:tc>
          <w:tcPr>
            <w:tcW w:w="792" w:type="dxa"/>
            <w:vAlign w:val="center"/>
          </w:tcPr>
          <w:p w14:paraId="3145E530" w14:textId="77777777" w:rsidR="00FF7003" w:rsidRPr="00A172CC" w:rsidRDefault="00FF7003" w:rsidP="00FF7003"/>
        </w:tc>
        <w:tc>
          <w:tcPr>
            <w:tcW w:w="791" w:type="dxa"/>
            <w:vAlign w:val="center"/>
          </w:tcPr>
          <w:p w14:paraId="6176280B" w14:textId="77777777" w:rsidR="00FF7003" w:rsidRPr="00A172CC" w:rsidRDefault="00FF7003" w:rsidP="00FF7003"/>
        </w:tc>
        <w:tc>
          <w:tcPr>
            <w:tcW w:w="792" w:type="dxa"/>
            <w:vAlign w:val="center"/>
          </w:tcPr>
          <w:p w14:paraId="0CEB2463" w14:textId="77777777" w:rsidR="00FF7003" w:rsidRPr="00A172CC" w:rsidRDefault="00FF7003" w:rsidP="00FF7003"/>
        </w:tc>
      </w:tr>
      <w:tr w:rsidR="00FF7003" w:rsidRPr="00A172CC" w14:paraId="07FE3374" w14:textId="77777777" w:rsidTr="00FF7003">
        <w:trPr>
          <w:trHeight w:hRule="exact" w:val="397"/>
        </w:trPr>
        <w:tc>
          <w:tcPr>
            <w:tcW w:w="4208" w:type="dxa"/>
            <w:shd w:val="clear" w:color="auto" w:fill="auto"/>
            <w:vAlign w:val="center"/>
          </w:tcPr>
          <w:p w14:paraId="249C4A3E" w14:textId="77777777" w:rsidR="00FF7003" w:rsidRPr="00A172CC" w:rsidRDefault="00FF7003" w:rsidP="00FF7003">
            <w:r w:rsidRPr="00A172CC">
              <w:t>Contract</w:t>
            </w:r>
          </w:p>
        </w:tc>
        <w:tc>
          <w:tcPr>
            <w:tcW w:w="1001" w:type="dxa"/>
            <w:shd w:val="clear" w:color="auto" w:fill="auto"/>
            <w:vAlign w:val="center"/>
          </w:tcPr>
          <w:p w14:paraId="1AD8F009" w14:textId="65FAF4FE" w:rsidR="00FF7003" w:rsidRPr="00A172CC" w:rsidRDefault="00540749" w:rsidP="00FF7003">
            <w:r>
              <w:t>22</w:t>
            </w:r>
            <w:r w:rsidR="00185FAD">
              <w:t>2</w:t>
            </w:r>
          </w:p>
        </w:tc>
        <w:tc>
          <w:tcPr>
            <w:tcW w:w="791" w:type="dxa"/>
            <w:shd w:val="clear" w:color="auto" w:fill="auto"/>
            <w:vAlign w:val="center"/>
          </w:tcPr>
          <w:p w14:paraId="0F7D5600" w14:textId="51B57AE8" w:rsidR="00FF7003" w:rsidRPr="00A172CC" w:rsidRDefault="00FF7003" w:rsidP="00FF7003"/>
        </w:tc>
        <w:tc>
          <w:tcPr>
            <w:tcW w:w="792" w:type="dxa"/>
            <w:shd w:val="clear" w:color="auto" w:fill="auto"/>
            <w:vAlign w:val="center"/>
          </w:tcPr>
          <w:p w14:paraId="5658F17A" w14:textId="1AB89D37" w:rsidR="00FF7003" w:rsidRPr="00A172CC" w:rsidRDefault="00185FAD" w:rsidP="00FF7003">
            <w:r>
              <w:t>7</w:t>
            </w:r>
          </w:p>
        </w:tc>
        <w:tc>
          <w:tcPr>
            <w:tcW w:w="791" w:type="dxa"/>
            <w:shd w:val="clear" w:color="auto" w:fill="auto"/>
            <w:vAlign w:val="center"/>
          </w:tcPr>
          <w:p w14:paraId="2D34A6FE" w14:textId="7D25E7A0" w:rsidR="00FF7003" w:rsidRPr="00A172CC" w:rsidRDefault="00185FAD" w:rsidP="00FF7003">
            <w:r>
              <w:t>12</w:t>
            </w:r>
          </w:p>
        </w:tc>
        <w:tc>
          <w:tcPr>
            <w:tcW w:w="792" w:type="dxa"/>
            <w:shd w:val="clear" w:color="auto" w:fill="auto"/>
            <w:vAlign w:val="center"/>
          </w:tcPr>
          <w:p w14:paraId="57F737A9" w14:textId="1CA59903" w:rsidR="00FF7003" w:rsidRPr="00A172CC" w:rsidRDefault="00185FAD" w:rsidP="00FF7003">
            <w:r>
              <w:t>10</w:t>
            </w:r>
          </w:p>
        </w:tc>
        <w:tc>
          <w:tcPr>
            <w:tcW w:w="791" w:type="dxa"/>
            <w:shd w:val="clear" w:color="auto" w:fill="auto"/>
            <w:vAlign w:val="center"/>
          </w:tcPr>
          <w:p w14:paraId="421F42FC" w14:textId="18D208FE" w:rsidR="00FF7003" w:rsidRPr="00A172CC" w:rsidRDefault="00185FAD" w:rsidP="00FF7003">
            <w:r>
              <w:t>28</w:t>
            </w:r>
          </w:p>
        </w:tc>
        <w:tc>
          <w:tcPr>
            <w:tcW w:w="792" w:type="dxa"/>
            <w:shd w:val="clear" w:color="auto" w:fill="auto"/>
            <w:vAlign w:val="center"/>
          </w:tcPr>
          <w:p w14:paraId="4459894D" w14:textId="4A72201F" w:rsidR="00FF7003" w:rsidRPr="00A172CC" w:rsidRDefault="00185FAD" w:rsidP="00FF7003">
            <w:r>
              <w:t>28</w:t>
            </w:r>
          </w:p>
        </w:tc>
        <w:tc>
          <w:tcPr>
            <w:tcW w:w="791" w:type="dxa"/>
            <w:shd w:val="clear" w:color="auto" w:fill="auto"/>
            <w:vAlign w:val="center"/>
          </w:tcPr>
          <w:p w14:paraId="39F51AF3" w14:textId="29F96DD1" w:rsidR="00FF7003" w:rsidRPr="00A172CC" w:rsidRDefault="00185FAD" w:rsidP="00FF7003">
            <w:r>
              <w:t>5</w:t>
            </w:r>
          </w:p>
        </w:tc>
        <w:tc>
          <w:tcPr>
            <w:tcW w:w="792" w:type="dxa"/>
            <w:shd w:val="clear" w:color="auto" w:fill="auto"/>
            <w:vAlign w:val="center"/>
          </w:tcPr>
          <w:p w14:paraId="0B17BD2A" w14:textId="39FDBB5C" w:rsidR="00FF7003" w:rsidRPr="00A172CC" w:rsidRDefault="00185FAD" w:rsidP="00FF7003">
            <w:r>
              <w:t>5</w:t>
            </w:r>
          </w:p>
        </w:tc>
        <w:tc>
          <w:tcPr>
            <w:tcW w:w="791" w:type="dxa"/>
            <w:shd w:val="clear" w:color="auto" w:fill="auto"/>
            <w:vAlign w:val="center"/>
          </w:tcPr>
          <w:p w14:paraId="28C0A26A" w14:textId="3A495BA1" w:rsidR="00FF7003" w:rsidRPr="00A172CC" w:rsidRDefault="00185FAD" w:rsidP="00FF7003">
            <w:r>
              <w:t>5</w:t>
            </w:r>
          </w:p>
        </w:tc>
        <w:tc>
          <w:tcPr>
            <w:tcW w:w="792" w:type="dxa"/>
            <w:shd w:val="clear" w:color="auto" w:fill="auto"/>
            <w:vAlign w:val="center"/>
          </w:tcPr>
          <w:p w14:paraId="01239228" w14:textId="749BCDD3" w:rsidR="00FF7003" w:rsidRPr="00A172CC" w:rsidRDefault="00FF7003" w:rsidP="00FF7003"/>
        </w:tc>
        <w:tc>
          <w:tcPr>
            <w:tcW w:w="791" w:type="dxa"/>
            <w:shd w:val="clear" w:color="auto" w:fill="auto"/>
            <w:vAlign w:val="center"/>
          </w:tcPr>
          <w:p w14:paraId="4CAAAD3F" w14:textId="441855AE" w:rsidR="00FF7003" w:rsidRPr="00A172CC" w:rsidRDefault="00FF7003" w:rsidP="00FF7003"/>
        </w:tc>
        <w:tc>
          <w:tcPr>
            <w:tcW w:w="792" w:type="dxa"/>
            <w:shd w:val="clear" w:color="auto" w:fill="auto"/>
            <w:vAlign w:val="center"/>
          </w:tcPr>
          <w:p w14:paraId="4AC523E0" w14:textId="4E3AE2B7" w:rsidR="00FF7003" w:rsidRPr="00A172CC" w:rsidRDefault="00FF7003" w:rsidP="00FF7003"/>
        </w:tc>
      </w:tr>
      <w:tr w:rsidR="00FF7003" w:rsidRPr="00A172CC" w14:paraId="20C090B1" w14:textId="77777777" w:rsidTr="00FF7003">
        <w:trPr>
          <w:trHeight w:hRule="exact" w:val="397"/>
        </w:trPr>
        <w:tc>
          <w:tcPr>
            <w:tcW w:w="4208" w:type="dxa"/>
            <w:vAlign w:val="center"/>
          </w:tcPr>
          <w:p w14:paraId="3E088BE8" w14:textId="77777777" w:rsidR="00FF7003" w:rsidRPr="00A172CC" w:rsidRDefault="00FF7003" w:rsidP="00FF7003">
            <w:pPr>
              <w:rPr>
                <w:highlight w:val="yellow"/>
              </w:rPr>
            </w:pPr>
            <w:r w:rsidRPr="00A172CC">
              <w:t>European Union Law</w:t>
            </w:r>
          </w:p>
        </w:tc>
        <w:tc>
          <w:tcPr>
            <w:tcW w:w="1001" w:type="dxa"/>
            <w:vAlign w:val="center"/>
          </w:tcPr>
          <w:p w14:paraId="68EC27E8" w14:textId="2CBE3068" w:rsidR="00FF7003" w:rsidRPr="00A172CC" w:rsidRDefault="00185FAD" w:rsidP="00FF7003">
            <w:r>
              <w:t>202</w:t>
            </w:r>
          </w:p>
        </w:tc>
        <w:tc>
          <w:tcPr>
            <w:tcW w:w="791" w:type="dxa"/>
            <w:vAlign w:val="center"/>
          </w:tcPr>
          <w:p w14:paraId="46C3ED4F" w14:textId="4D02ED3F" w:rsidR="00FF7003" w:rsidRPr="00A172CC" w:rsidRDefault="00185FAD" w:rsidP="00FF7003">
            <w:r>
              <w:t>0.5</w:t>
            </w:r>
          </w:p>
        </w:tc>
        <w:tc>
          <w:tcPr>
            <w:tcW w:w="792" w:type="dxa"/>
            <w:vAlign w:val="center"/>
          </w:tcPr>
          <w:p w14:paraId="6573DD78" w14:textId="66878B5F" w:rsidR="00FF7003" w:rsidRPr="00A172CC" w:rsidRDefault="00185FAD" w:rsidP="00FF7003">
            <w:r>
              <w:t>8</w:t>
            </w:r>
          </w:p>
        </w:tc>
        <w:tc>
          <w:tcPr>
            <w:tcW w:w="791" w:type="dxa"/>
            <w:vAlign w:val="center"/>
          </w:tcPr>
          <w:p w14:paraId="29042268" w14:textId="1C4F29CA" w:rsidR="00FF7003" w:rsidRPr="00A172CC" w:rsidRDefault="00185FAD" w:rsidP="00FF7003">
            <w:r>
              <w:t>16</w:t>
            </w:r>
          </w:p>
        </w:tc>
        <w:tc>
          <w:tcPr>
            <w:tcW w:w="792" w:type="dxa"/>
            <w:vAlign w:val="center"/>
          </w:tcPr>
          <w:p w14:paraId="1EA8B325" w14:textId="710C1FF0" w:rsidR="00FF7003" w:rsidRPr="00A172CC" w:rsidRDefault="00185FAD" w:rsidP="00FF7003">
            <w:r>
              <w:t>17</w:t>
            </w:r>
          </w:p>
        </w:tc>
        <w:tc>
          <w:tcPr>
            <w:tcW w:w="791" w:type="dxa"/>
            <w:vAlign w:val="center"/>
          </w:tcPr>
          <w:p w14:paraId="48ED513B" w14:textId="1AD79D51" w:rsidR="00FF7003" w:rsidRPr="00A172CC" w:rsidRDefault="00185FAD" w:rsidP="00FF7003">
            <w:r>
              <w:t>4</w:t>
            </w:r>
            <w:r w:rsidR="002C2D03">
              <w:t>5</w:t>
            </w:r>
          </w:p>
        </w:tc>
        <w:tc>
          <w:tcPr>
            <w:tcW w:w="792" w:type="dxa"/>
            <w:vAlign w:val="center"/>
          </w:tcPr>
          <w:p w14:paraId="09F202CB" w14:textId="13BD2CD1" w:rsidR="00FF7003" w:rsidRDefault="00185FAD" w:rsidP="00FF7003">
            <w:r>
              <w:t>12</w:t>
            </w:r>
          </w:p>
          <w:p w14:paraId="53522684" w14:textId="6518F814" w:rsidR="007E11D6" w:rsidRPr="00A172CC" w:rsidRDefault="007E11D6" w:rsidP="00FF7003"/>
        </w:tc>
        <w:tc>
          <w:tcPr>
            <w:tcW w:w="791" w:type="dxa"/>
            <w:vAlign w:val="center"/>
          </w:tcPr>
          <w:p w14:paraId="119C66E1" w14:textId="15C0B25F" w:rsidR="00FF7003" w:rsidRPr="00A172CC" w:rsidRDefault="002C2D03" w:rsidP="00FF7003">
            <w:r>
              <w:t>1.5</w:t>
            </w:r>
          </w:p>
        </w:tc>
        <w:tc>
          <w:tcPr>
            <w:tcW w:w="792" w:type="dxa"/>
            <w:vAlign w:val="center"/>
          </w:tcPr>
          <w:p w14:paraId="38237FCF" w14:textId="299517B8" w:rsidR="00FF7003" w:rsidRPr="00A172CC" w:rsidRDefault="00FF7003" w:rsidP="00FF7003"/>
        </w:tc>
        <w:tc>
          <w:tcPr>
            <w:tcW w:w="791" w:type="dxa"/>
            <w:vAlign w:val="center"/>
          </w:tcPr>
          <w:p w14:paraId="44EAF946" w14:textId="1963ED58" w:rsidR="00FF7003" w:rsidRPr="00A172CC" w:rsidRDefault="00FF7003" w:rsidP="00FF7003"/>
        </w:tc>
        <w:tc>
          <w:tcPr>
            <w:tcW w:w="792" w:type="dxa"/>
            <w:vAlign w:val="center"/>
          </w:tcPr>
          <w:p w14:paraId="0569BA71" w14:textId="3129530D" w:rsidR="00FF7003" w:rsidRPr="00A172CC" w:rsidRDefault="00FF7003" w:rsidP="00FF7003"/>
        </w:tc>
        <w:tc>
          <w:tcPr>
            <w:tcW w:w="791" w:type="dxa"/>
            <w:vAlign w:val="center"/>
          </w:tcPr>
          <w:p w14:paraId="44222385" w14:textId="77777777" w:rsidR="00FF7003" w:rsidRPr="00A172CC" w:rsidRDefault="00FF7003" w:rsidP="00FF7003"/>
        </w:tc>
        <w:tc>
          <w:tcPr>
            <w:tcW w:w="792" w:type="dxa"/>
            <w:vAlign w:val="center"/>
          </w:tcPr>
          <w:p w14:paraId="6CB96E12" w14:textId="77777777" w:rsidR="00FF7003" w:rsidRPr="00A172CC" w:rsidRDefault="00FF7003" w:rsidP="00FF7003"/>
        </w:tc>
      </w:tr>
      <w:tr w:rsidR="00FF7003" w:rsidRPr="00A172CC" w14:paraId="4928B15F" w14:textId="77777777" w:rsidTr="00FF7003">
        <w:trPr>
          <w:trHeight w:hRule="exact" w:val="397"/>
        </w:trPr>
        <w:tc>
          <w:tcPr>
            <w:tcW w:w="4208" w:type="dxa"/>
            <w:vAlign w:val="center"/>
          </w:tcPr>
          <w:p w14:paraId="167B9C5D" w14:textId="77777777" w:rsidR="00FF7003" w:rsidRPr="00A172CC" w:rsidRDefault="00FF7003" w:rsidP="00FF7003">
            <w:pPr>
              <w:rPr>
                <w:highlight w:val="yellow"/>
              </w:rPr>
            </w:pPr>
            <w:r w:rsidRPr="00A172CC">
              <w:t>Jurisprudence</w:t>
            </w:r>
          </w:p>
        </w:tc>
        <w:tc>
          <w:tcPr>
            <w:tcW w:w="1001" w:type="dxa"/>
            <w:vAlign w:val="center"/>
          </w:tcPr>
          <w:p w14:paraId="1F2A48E5" w14:textId="37D18E66" w:rsidR="00FF7003" w:rsidRPr="00A172CC" w:rsidRDefault="00BA6675" w:rsidP="00FF7003">
            <w:r>
              <w:t>197</w:t>
            </w:r>
          </w:p>
        </w:tc>
        <w:tc>
          <w:tcPr>
            <w:tcW w:w="791" w:type="dxa"/>
            <w:vAlign w:val="center"/>
          </w:tcPr>
          <w:p w14:paraId="343B3A01" w14:textId="3194D405" w:rsidR="00FF7003" w:rsidRPr="00A172CC" w:rsidRDefault="00BA6675" w:rsidP="00FF7003">
            <w:r>
              <w:t>1</w:t>
            </w:r>
          </w:p>
        </w:tc>
        <w:tc>
          <w:tcPr>
            <w:tcW w:w="792" w:type="dxa"/>
            <w:vAlign w:val="center"/>
          </w:tcPr>
          <w:p w14:paraId="5F2D16C5" w14:textId="65B0A19D" w:rsidR="00FF7003" w:rsidRPr="00A172CC" w:rsidRDefault="00BA6675" w:rsidP="00FF7003">
            <w:r>
              <w:t>11</w:t>
            </w:r>
          </w:p>
        </w:tc>
        <w:tc>
          <w:tcPr>
            <w:tcW w:w="791" w:type="dxa"/>
            <w:vAlign w:val="center"/>
          </w:tcPr>
          <w:p w14:paraId="5FCF7EAC" w14:textId="484F37DE" w:rsidR="00FF7003" w:rsidRPr="00A172CC" w:rsidRDefault="00BA6675" w:rsidP="00FF7003">
            <w:r>
              <w:t>12</w:t>
            </w:r>
          </w:p>
        </w:tc>
        <w:tc>
          <w:tcPr>
            <w:tcW w:w="792" w:type="dxa"/>
            <w:vAlign w:val="center"/>
          </w:tcPr>
          <w:p w14:paraId="363B7709" w14:textId="116C1893" w:rsidR="00FF7003" w:rsidRPr="00A172CC" w:rsidRDefault="00BA6675" w:rsidP="00FF7003">
            <w:r>
              <w:t>12</w:t>
            </w:r>
          </w:p>
        </w:tc>
        <w:tc>
          <w:tcPr>
            <w:tcW w:w="791" w:type="dxa"/>
            <w:vAlign w:val="center"/>
          </w:tcPr>
          <w:p w14:paraId="225252FD" w14:textId="6B0AEB19" w:rsidR="00FF7003" w:rsidRPr="00A172CC" w:rsidRDefault="00BA6675" w:rsidP="00FF7003">
            <w:r>
              <w:t>26</w:t>
            </w:r>
          </w:p>
        </w:tc>
        <w:tc>
          <w:tcPr>
            <w:tcW w:w="792" w:type="dxa"/>
            <w:vAlign w:val="center"/>
          </w:tcPr>
          <w:p w14:paraId="4B4668A9" w14:textId="15C0C4E2" w:rsidR="00FF7003" w:rsidRPr="00A172CC" w:rsidRDefault="00BA6675" w:rsidP="00FF7003">
            <w:r>
              <w:t>29</w:t>
            </w:r>
          </w:p>
        </w:tc>
        <w:tc>
          <w:tcPr>
            <w:tcW w:w="791" w:type="dxa"/>
            <w:vAlign w:val="center"/>
          </w:tcPr>
          <w:p w14:paraId="6729F070" w14:textId="70CFF7E0" w:rsidR="00FF7003" w:rsidRPr="00A172CC" w:rsidRDefault="00BA6675" w:rsidP="00FF7003">
            <w:r>
              <w:t>6</w:t>
            </w:r>
          </w:p>
        </w:tc>
        <w:tc>
          <w:tcPr>
            <w:tcW w:w="792" w:type="dxa"/>
            <w:vAlign w:val="center"/>
          </w:tcPr>
          <w:p w14:paraId="4EF9D8BF" w14:textId="7E35290A" w:rsidR="00FF7003" w:rsidRPr="00A172CC" w:rsidRDefault="00BA6675" w:rsidP="00FF7003">
            <w:r>
              <w:t>1.5</w:t>
            </w:r>
          </w:p>
        </w:tc>
        <w:tc>
          <w:tcPr>
            <w:tcW w:w="791" w:type="dxa"/>
            <w:vAlign w:val="center"/>
          </w:tcPr>
          <w:p w14:paraId="61FCEBFB" w14:textId="4FC150F4" w:rsidR="00FF7003" w:rsidRPr="00A172CC" w:rsidRDefault="00BA6675" w:rsidP="00FF7003">
            <w:r>
              <w:t>1.5</w:t>
            </w:r>
          </w:p>
        </w:tc>
        <w:tc>
          <w:tcPr>
            <w:tcW w:w="792" w:type="dxa"/>
            <w:vAlign w:val="center"/>
          </w:tcPr>
          <w:p w14:paraId="3EF5D8CC" w14:textId="77777777" w:rsidR="00FF7003" w:rsidRPr="00A172CC" w:rsidRDefault="00FF7003" w:rsidP="00FF7003"/>
        </w:tc>
        <w:tc>
          <w:tcPr>
            <w:tcW w:w="791" w:type="dxa"/>
            <w:vAlign w:val="center"/>
          </w:tcPr>
          <w:p w14:paraId="788AD110" w14:textId="7F767687" w:rsidR="00FF7003" w:rsidRPr="00A172CC" w:rsidRDefault="00FF7003" w:rsidP="00FF7003"/>
        </w:tc>
        <w:tc>
          <w:tcPr>
            <w:tcW w:w="792" w:type="dxa"/>
            <w:vAlign w:val="center"/>
          </w:tcPr>
          <w:p w14:paraId="0083538B" w14:textId="77777777" w:rsidR="00FF7003" w:rsidRPr="00A172CC" w:rsidRDefault="00FF7003" w:rsidP="00FF7003"/>
        </w:tc>
      </w:tr>
      <w:tr w:rsidR="00FF7003" w:rsidRPr="00A172CC" w14:paraId="40279D1A" w14:textId="77777777" w:rsidTr="00FF7003">
        <w:trPr>
          <w:trHeight w:hRule="exact" w:val="397"/>
        </w:trPr>
        <w:tc>
          <w:tcPr>
            <w:tcW w:w="4208" w:type="dxa"/>
            <w:vAlign w:val="center"/>
          </w:tcPr>
          <w:p w14:paraId="392953FE" w14:textId="77777777" w:rsidR="00FF7003" w:rsidRPr="00A172CC" w:rsidRDefault="00FF7003" w:rsidP="00FF7003">
            <w:pPr>
              <w:rPr>
                <w:highlight w:val="yellow"/>
              </w:rPr>
            </w:pPr>
            <w:r w:rsidRPr="00A172CC">
              <w:t xml:space="preserve">Land Law </w:t>
            </w:r>
          </w:p>
        </w:tc>
        <w:tc>
          <w:tcPr>
            <w:tcW w:w="1001" w:type="dxa"/>
            <w:vAlign w:val="center"/>
          </w:tcPr>
          <w:p w14:paraId="01880B59" w14:textId="41EA1427" w:rsidR="00FF7003" w:rsidRPr="00A172CC" w:rsidRDefault="00CD3756" w:rsidP="00FF7003">
            <w:r>
              <w:t>201</w:t>
            </w:r>
          </w:p>
        </w:tc>
        <w:tc>
          <w:tcPr>
            <w:tcW w:w="791" w:type="dxa"/>
            <w:vAlign w:val="center"/>
          </w:tcPr>
          <w:p w14:paraId="5B28012A" w14:textId="5615DEAD" w:rsidR="00FF7003" w:rsidRPr="00A172CC" w:rsidRDefault="00FF7003" w:rsidP="00FF7003"/>
        </w:tc>
        <w:tc>
          <w:tcPr>
            <w:tcW w:w="792" w:type="dxa"/>
            <w:vAlign w:val="center"/>
          </w:tcPr>
          <w:p w14:paraId="28C18C11" w14:textId="130E7884" w:rsidR="00FF7003" w:rsidRPr="00A172CC" w:rsidRDefault="00ED3C79" w:rsidP="00FF7003">
            <w:r>
              <w:t>6</w:t>
            </w:r>
          </w:p>
        </w:tc>
        <w:tc>
          <w:tcPr>
            <w:tcW w:w="791" w:type="dxa"/>
            <w:vAlign w:val="center"/>
          </w:tcPr>
          <w:p w14:paraId="24272505" w14:textId="5CD772DE" w:rsidR="00FF7003" w:rsidRPr="00A172CC" w:rsidRDefault="00ED3C79" w:rsidP="00FF7003">
            <w:r>
              <w:t>14</w:t>
            </w:r>
          </w:p>
        </w:tc>
        <w:tc>
          <w:tcPr>
            <w:tcW w:w="792" w:type="dxa"/>
            <w:vAlign w:val="center"/>
          </w:tcPr>
          <w:p w14:paraId="0CC3F72D" w14:textId="7E928A6B" w:rsidR="00FF7003" w:rsidRPr="00A172CC" w:rsidRDefault="00ED3C79" w:rsidP="00FF7003">
            <w:r>
              <w:t>7</w:t>
            </w:r>
          </w:p>
        </w:tc>
        <w:tc>
          <w:tcPr>
            <w:tcW w:w="791" w:type="dxa"/>
            <w:vAlign w:val="center"/>
          </w:tcPr>
          <w:p w14:paraId="54EE4254" w14:textId="399842FB" w:rsidR="00FF7003" w:rsidRPr="00A172CC" w:rsidRDefault="00ED3C79" w:rsidP="00FF7003">
            <w:r>
              <w:t>25</w:t>
            </w:r>
          </w:p>
        </w:tc>
        <w:tc>
          <w:tcPr>
            <w:tcW w:w="792" w:type="dxa"/>
            <w:vAlign w:val="center"/>
          </w:tcPr>
          <w:p w14:paraId="53736735" w14:textId="3388783D" w:rsidR="00FF7003" w:rsidRPr="00A172CC" w:rsidRDefault="00ED3C79" w:rsidP="00FF7003">
            <w:r>
              <w:t>33</w:t>
            </w:r>
          </w:p>
        </w:tc>
        <w:tc>
          <w:tcPr>
            <w:tcW w:w="791" w:type="dxa"/>
            <w:vAlign w:val="center"/>
          </w:tcPr>
          <w:p w14:paraId="0D4B3C2A" w14:textId="6DD603BF" w:rsidR="00FF7003" w:rsidRPr="00A172CC" w:rsidRDefault="00ED3C79" w:rsidP="00FF7003">
            <w:r>
              <w:t>5</w:t>
            </w:r>
          </w:p>
        </w:tc>
        <w:tc>
          <w:tcPr>
            <w:tcW w:w="792" w:type="dxa"/>
            <w:vAlign w:val="center"/>
          </w:tcPr>
          <w:p w14:paraId="1A4FDDEB" w14:textId="282B0584" w:rsidR="00FF7003" w:rsidRPr="00A172CC" w:rsidRDefault="00ED3C79" w:rsidP="00FF7003">
            <w:r>
              <w:t>5</w:t>
            </w:r>
          </w:p>
        </w:tc>
        <w:tc>
          <w:tcPr>
            <w:tcW w:w="791" w:type="dxa"/>
            <w:vAlign w:val="center"/>
          </w:tcPr>
          <w:p w14:paraId="05013EDD" w14:textId="02F9CF4E" w:rsidR="00FF7003" w:rsidRPr="00A172CC" w:rsidRDefault="00ED3C79" w:rsidP="00FF7003">
            <w:r>
              <w:t>4</w:t>
            </w:r>
          </w:p>
        </w:tc>
        <w:tc>
          <w:tcPr>
            <w:tcW w:w="792" w:type="dxa"/>
            <w:vAlign w:val="center"/>
          </w:tcPr>
          <w:p w14:paraId="1BD56A7F" w14:textId="0B0A46F3" w:rsidR="00FF7003" w:rsidRPr="00A172CC" w:rsidRDefault="00ED3C79" w:rsidP="00FF7003">
            <w:r>
              <w:t>0.5</w:t>
            </w:r>
          </w:p>
        </w:tc>
        <w:tc>
          <w:tcPr>
            <w:tcW w:w="791" w:type="dxa"/>
            <w:vAlign w:val="center"/>
          </w:tcPr>
          <w:p w14:paraId="6563452E" w14:textId="76A4105B" w:rsidR="00FF7003" w:rsidRPr="00A172CC" w:rsidRDefault="00ED3C79" w:rsidP="00FF7003">
            <w:r>
              <w:t>0.5</w:t>
            </w:r>
          </w:p>
        </w:tc>
        <w:tc>
          <w:tcPr>
            <w:tcW w:w="792" w:type="dxa"/>
            <w:vAlign w:val="center"/>
          </w:tcPr>
          <w:p w14:paraId="2C61D4A6" w14:textId="57E985CE" w:rsidR="00FF7003" w:rsidRPr="00A172CC" w:rsidRDefault="00FF7003" w:rsidP="00FF7003"/>
        </w:tc>
      </w:tr>
      <w:tr w:rsidR="00FF7003" w:rsidRPr="00A172CC" w14:paraId="66B5C8D8" w14:textId="77777777" w:rsidTr="00FF7003">
        <w:trPr>
          <w:trHeight w:hRule="exact" w:val="397"/>
        </w:trPr>
        <w:tc>
          <w:tcPr>
            <w:tcW w:w="4208" w:type="dxa"/>
            <w:vAlign w:val="center"/>
          </w:tcPr>
          <w:p w14:paraId="4AC2BC25" w14:textId="77777777" w:rsidR="00FF7003" w:rsidRPr="00A172CC" w:rsidRDefault="00FF7003" w:rsidP="00FF7003">
            <w:pPr>
              <w:rPr>
                <w:highlight w:val="yellow"/>
              </w:rPr>
            </w:pPr>
            <w:r w:rsidRPr="00A172CC">
              <w:t>Tort</w:t>
            </w:r>
          </w:p>
        </w:tc>
        <w:tc>
          <w:tcPr>
            <w:tcW w:w="1001" w:type="dxa"/>
            <w:vAlign w:val="center"/>
          </w:tcPr>
          <w:p w14:paraId="2BB8BF25" w14:textId="5A35EA5B" w:rsidR="00FF7003" w:rsidRPr="00A172CC" w:rsidRDefault="00230F6F" w:rsidP="00FF7003">
            <w:r>
              <w:t>223</w:t>
            </w:r>
          </w:p>
        </w:tc>
        <w:tc>
          <w:tcPr>
            <w:tcW w:w="791" w:type="dxa"/>
            <w:vAlign w:val="center"/>
          </w:tcPr>
          <w:p w14:paraId="6989B0E7" w14:textId="3DDD04AD" w:rsidR="00FF7003" w:rsidRPr="00A172CC" w:rsidRDefault="00230F6F" w:rsidP="00FF7003">
            <w:r>
              <w:t>0.5</w:t>
            </w:r>
          </w:p>
        </w:tc>
        <w:tc>
          <w:tcPr>
            <w:tcW w:w="792" w:type="dxa"/>
            <w:vAlign w:val="center"/>
          </w:tcPr>
          <w:p w14:paraId="62546C2D" w14:textId="17C38F5A" w:rsidR="00FF7003" w:rsidRPr="00A172CC" w:rsidRDefault="00230F6F" w:rsidP="00FF7003">
            <w:r>
              <w:t>9</w:t>
            </w:r>
          </w:p>
        </w:tc>
        <w:tc>
          <w:tcPr>
            <w:tcW w:w="791" w:type="dxa"/>
            <w:vAlign w:val="center"/>
          </w:tcPr>
          <w:p w14:paraId="5BC6E784" w14:textId="7C49FD74" w:rsidR="00FF7003" w:rsidRPr="00A172CC" w:rsidRDefault="00230F6F" w:rsidP="00FF7003">
            <w:r>
              <w:t>20</w:t>
            </w:r>
          </w:p>
        </w:tc>
        <w:tc>
          <w:tcPr>
            <w:tcW w:w="792" w:type="dxa"/>
            <w:vAlign w:val="center"/>
          </w:tcPr>
          <w:p w14:paraId="78ACA5BD" w14:textId="7398A403" w:rsidR="00FF7003" w:rsidRPr="00A172CC" w:rsidRDefault="00230F6F" w:rsidP="00FF7003">
            <w:r>
              <w:t>13</w:t>
            </w:r>
          </w:p>
        </w:tc>
        <w:tc>
          <w:tcPr>
            <w:tcW w:w="791" w:type="dxa"/>
            <w:vAlign w:val="center"/>
          </w:tcPr>
          <w:p w14:paraId="125F4E5B" w14:textId="6982D699" w:rsidR="00FF7003" w:rsidRPr="00A172CC" w:rsidRDefault="00230F6F" w:rsidP="00FF7003">
            <w:r>
              <w:t>37</w:t>
            </w:r>
          </w:p>
        </w:tc>
        <w:tc>
          <w:tcPr>
            <w:tcW w:w="792" w:type="dxa"/>
            <w:vAlign w:val="center"/>
          </w:tcPr>
          <w:p w14:paraId="6D4DB4ED" w14:textId="7224D804" w:rsidR="00FF7003" w:rsidRPr="00A172CC" w:rsidRDefault="00230F6F" w:rsidP="00FF7003">
            <w:r>
              <w:t>15</w:t>
            </w:r>
          </w:p>
        </w:tc>
        <w:tc>
          <w:tcPr>
            <w:tcW w:w="791" w:type="dxa"/>
            <w:vAlign w:val="center"/>
          </w:tcPr>
          <w:p w14:paraId="5922C6F5" w14:textId="5BDD8519" w:rsidR="00FF7003" w:rsidRPr="00A172CC" w:rsidRDefault="00230F6F" w:rsidP="00FF7003">
            <w:r>
              <w:t>1.5</w:t>
            </w:r>
          </w:p>
        </w:tc>
        <w:tc>
          <w:tcPr>
            <w:tcW w:w="792" w:type="dxa"/>
            <w:vAlign w:val="center"/>
          </w:tcPr>
          <w:p w14:paraId="26377D59" w14:textId="66AA10D7" w:rsidR="00FF7003" w:rsidRPr="00A172CC" w:rsidRDefault="00230F6F" w:rsidP="00FF7003">
            <w:r>
              <w:t>2.5</w:t>
            </w:r>
          </w:p>
        </w:tc>
        <w:tc>
          <w:tcPr>
            <w:tcW w:w="791" w:type="dxa"/>
            <w:vAlign w:val="center"/>
          </w:tcPr>
          <w:p w14:paraId="39D078BA" w14:textId="4D367C4B" w:rsidR="00FF7003" w:rsidRPr="00A172CC" w:rsidRDefault="00230F6F" w:rsidP="00FF7003">
            <w:r>
              <w:t>1.5</w:t>
            </w:r>
          </w:p>
        </w:tc>
        <w:tc>
          <w:tcPr>
            <w:tcW w:w="792" w:type="dxa"/>
            <w:vAlign w:val="center"/>
          </w:tcPr>
          <w:p w14:paraId="0DB456A8" w14:textId="194A9B3F" w:rsidR="00FF7003" w:rsidRPr="00A172CC" w:rsidRDefault="00FF7003" w:rsidP="00FF7003"/>
        </w:tc>
        <w:tc>
          <w:tcPr>
            <w:tcW w:w="791" w:type="dxa"/>
            <w:vAlign w:val="center"/>
          </w:tcPr>
          <w:p w14:paraId="5A6D31C3" w14:textId="77777777" w:rsidR="00FF7003" w:rsidRPr="00A172CC" w:rsidRDefault="00FF7003" w:rsidP="00FF7003"/>
        </w:tc>
        <w:tc>
          <w:tcPr>
            <w:tcW w:w="792" w:type="dxa"/>
            <w:vAlign w:val="center"/>
          </w:tcPr>
          <w:p w14:paraId="2A1AF1AA" w14:textId="77777777" w:rsidR="00FF7003" w:rsidRPr="00A172CC" w:rsidRDefault="00FF7003" w:rsidP="00FF7003"/>
        </w:tc>
      </w:tr>
      <w:tr w:rsidR="00FF7003" w:rsidRPr="00A172CC" w14:paraId="3C4F8C41" w14:textId="77777777" w:rsidTr="00FF7003">
        <w:trPr>
          <w:trHeight w:hRule="exact" w:val="397"/>
        </w:trPr>
        <w:tc>
          <w:tcPr>
            <w:tcW w:w="4208" w:type="dxa"/>
            <w:vAlign w:val="center"/>
          </w:tcPr>
          <w:p w14:paraId="66E6E840" w14:textId="77777777" w:rsidR="00FF7003" w:rsidRPr="00A172CC" w:rsidRDefault="00FF7003" w:rsidP="00FF7003">
            <w:pPr>
              <w:rPr>
                <w:highlight w:val="yellow"/>
              </w:rPr>
            </w:pPr>
            <w:r w:rsidRPr="00A172CC">
              <w:t>Trusts</w:t>
            </w:r>
          </w:p>
        </w:tc>
        <w:tc>
          <w:tcPr>
            <w:tcW w:w="1001" w:type="dxa"/>
            <w:vAlign w:val="center"/>
          </w:tcPr>
          <w:p w14:paraId="4368BAAA" w14:textId="34E0330B" w:rsidR="00FF7003" w:rsidRPr="00A172CC" w:rsidRDefault="00161776" w:rsidP="00FF7003">
            <w:r>
              <w:t>203</w:t>
            </w:r>
          </w:p>
        </w:tc>
        <w:tc>
          <w:tcPr>
            <w:tcW w:w="791" w:type="dxa"/>
            <w:vAlign w:val="center"/>
          </w:tcPr>
          <w:p w14:paraId="23CDD650" w14:textId="77777777" w:rsidR="00FF7003" w:rsidRPr="00A172CC" w:rsidRDefault="00FF7003" w:rsidP="00FF7003"/>
        </w:tc>
        <w:tc>
          <w:tcPr>
            <w:tcW w:w="792" w:type="dxa"/>
            <w:vAlign w:val="center"/>
          </w:tcPr>
          <w:p w14:paraId="2AA38AA3" w14:textId="7AE75907" w:rsidR="00FF7003" w:rsidRPr="00A172CC" w:rsidRDefault="00161776" w:rsidP="00FF7003">
            <w:r>
              <w:t>6</w:t>
            </w:r>
          </w:p>
        </w:tc>
        <w:tc>
          <w:tcPr>
            <w:tcW w:w="791" w:type="dxa"/>
            <w:vAlign w:val="center"/>
          </w:tcPr>
          <w:p w14:paraId="5F0A654E" w14:textId="56CEED45" w:rsidR="00FF7003" w:rsidRPr="00A172CC" w:rsidRDefault="00161776" w:rsidP="00FF7003">
            <w:r>
              <w:t>11</w:t>
            </w:r>
          </w:p>
        </w:tc>
        <w:tc>
          <w:tcPr>
            <w:tcW w:w="792" w:type="dxa"/>
            <w:vAlign w:val="center"/>
          </w:tcPr>
          <w:p w14:paraId="2CDD563A" w14:textId="010453DE" w:rsidR="00FF7003" w:rsidRPr="00A172CC" w:rsidRDefault="00161776" w:rsidP="00FF7003">
            <w:r>
              <w:t>5</w:t>
            </w:r>
          </w:p>
        </w:tc>
        <w:tc>
          <w:tcPr>
            <w:tcW w:w="791" w:type="dxa"/>
            <w:vAlign w:val="center"/>
          </w:tcPr>
          <w:p w14:paraId="4241B055" w14:textId="23BACA74" w:rsidR="00FF7003" w:rsidRPr="00A172CC" w:rsidRDefault="00161776" w:rsidP="00FF7003">
            <w:r>
              <w:t>31</w:t>
            </w:r>
          </w:p>
        </w:tc>
        <w:tc>
          <w:tcPr>
            <w:tcW w:w="792" w:type="dxa"/>
            <w:vAlign w:val="center"/>
          </w:tcPr>
          <w:p w14:paraId="6D168EBC" w14:textId="4B4AB263" w:rsidR="00FF7003" w:rsidRPr="00A172CC" w:rsidRDefault="00161776" w:rsidP="00FF7003">
            <w:r>
              <w:t>35</w:t>
            </w:r>
          </w:p>
        </w:tc>
        <w:tc>
          <w:tcPr>
            <w:tcW w:w="791" w:type="dxa"/>
            <w:vAlign w:val="center"/>
          </w:tcPr>
          <w:p w14:paraId="156EA4AE" w14:textId="5354D426" w:rsidR="00FF7003" w:rsidRPr="00A172CC" w:rsidRDefault="00161776" w:rsidP="00FF7003">
            <w:r>
              <w:t>6</w:t>
            </w:r>
          </w:p>
        </w:tc>
        <w:tc>
          <w:tcPr>
            <w:tcW w:w="792" w:type="dxa"/>
            <w:vAlign w:val="center"/>
          </w:tcPr>
          <w:p w14:paraId="50B06DB8" w14:textId="6CB39253" w:rsidR="00FF7003" w:rsidRPr="00A172CC" w:rsidRDefault="00161776" w:rsidP="00FF7003">
            <w:r>
              <w:t>2</w:t>
            </w:r>
          </w:p>
        </w:tc>
        <w:tc>
          <w:tcPr>
            <w:tcW w:w="791" w:type="dxa"/>
            <w:vAlign w:val="center"/>
          </w:tcPr>
          <w:p w14:paraId="1B6E02C3" w14:textId="12839509" w:rsidR="00FF7003" w:rsidRPr="00A172CC" w:rsidRDefault="00161776" w:rsidP="00FF7003">
            <w:r>
              <w:t>4</w:t>
            </w:r>
          </w:p>
        </w:tc>
        <w:tc>
          <w:tcPr>
            <w:tcW w:w="792" w:type="dxa"/>
            <w:vAlign w:val="center"/>
          </w:tcPr>
          <w:p w14:paraId="666CC14A" w14:textId="77777777" w:rsidR="00FF7003" w:rsidRPr="00A172CC" w:rsidRDefault="00FF7003" w:rsidP="00FF7003"/>
        </w:tc>
        <w:tc>
          <w:tcPr>
            <w:tcW w:w="791" w:type="dxa"/>
            <w:vAlign w:val="center"/>
          </w:tcPr>
          <w:p w14:paraId="7540148A" w14:textId="77777777" w:rsidR="00FF7003" w:rsidRPr="00A172CC" w:rsidRDefault="00FF7003" w:rsidP="00FF7003"/>
        </w:tc>
        <w:tc>
          <w:tcPr>
            <w:tcW w:w="792" w:type="dxa"/>
            <w:vAlign w:val="center"/>
          </w:tcPr>
          <w:p w14:paraId="3660D81C" w14:textId="6A199DBB" w:rsidR="00FF7003" w:rsidRPr="00A172CC" w:rsidRDefault="00FF7003" w:rsidP="00FF7003"/>
        </w:tc>
      </w:tr>
      <w:tr w:rsidR="00FF7003" w:rsidRPr="00A172CC" w14:paraId="6000BEB3" w14:textId="77777777" w:rsidTr="00FF7003">
        <w:trPr>
          <w:trHeight w:hRule="exact" w:val="397"/>
        </w:trPr>
        <w:tc>
          <w:tcPr>
            <w:tcW w:w="4208" w:type="dxa"/>
            <w:vAlign w:val="center"/>
          </w:tcPr>
          <w:p w14:paraId="52C46A89" w14:textId="77777777" w:rsidR="00FF7003" w:rsidRPr="00A172CC" w:rsidRDefault="00FF7003" w:rsidP="00FF7003">
            <w:r w:rsidRPr="00A172CC">
              <w:t>Advanced Criminal Law</w:t>
            </w:r>
          </w:p>
        </w:tc>
        <w:tc>
          <w:tcPr>
            <w:tcW w:w="1001" w:type="dxa"/>
            <w:vAlign w:val="center"/>
          </w:tcPr>
          <w:p w14:paraId="5437EA34" w14:textId="5E48AAF6" w:rsidR="00FF7003" w:rsidRPr="00A172CC" w:rsidRDefault="00161776" w:rsidP="00FF7003">
            <w:r>
              <w:t>25</w:t>
            </w:r>
          </w:p>
        </w:tc>
        <w:tc>
          <w:tcPr>
            <w:tcW w:w="791" w:type="dxa"/>
            <w:vAlign w:val="center"/>
          </w:tcPr>
          <w:p w14:paraId="00209DF8" w14:textId="77777777" w:rsidR="00FF7003" w:rsidRPr="00A172CC" w:rsidRDefault="00FF7003" w:rsidP="00FF7003"/>
        </w:tc>
        <w:tc>
          <w:tcPr>
            <w:tcW w:w="792" w:type="dxa"/>
            <w:vAlign w:val="center"/>
          </w:tcPr>
          <w:p w14:paraId="7E58D4BC" w14:textId="59657B9C" w:rsidR="00FF7003" w:rsidRPr="00A172CC" w:rsidRDefault="00161776" w:rsidP="00FF7003">
            <w:r>
              <w:t>4</w:t>
            </w:r>
          </w:p>
        </w:tc>
        <w:tc>
          <w:tcPr>
            <w:tcW w:w="791" w:type="dxa"/>
            <w:vAlign w:val="center"/>
          </w:tcPr>
          <w:p w14:paraId="30E61F7E" w14:textId="1A5C8E34" w:rsidR="00FF7003" w:rsidRPr="00A172CC" w:rsidRDefault="00161776" w:rsidP="00FF7003">
            <w:r>
              <w:t>20</w:t>
            </w:r>
          </w:p>
        </w:tc>
        <w:tc>
          <w:tcPr>
            <w:tcW w:w="792" w:type="dxa"/>
            <w:vAlign w:val="center"/>
          </w:tcPr>
          <w:p w14:paraId="0752FBEB" w14:textId="0F9EC35E" w:rsidR="00FF7003" w:rsidRPr="00A172CC" w:rsidRDefault="00161776" w:rsidP="00FF7003">
            <w:r>
              <w:t>20</w:t>
            </w:r>
          </w:p>
        </w:tc>
        <w:tc>
          <w:tcPr>
            <w:tcW w:w="791" w:type="dxa"/>
            <w:vAlign w:val="center"/>
          </w:tcPr>
          <w:p w14:paraId="1597235E" w14:textId="312FD1C9" w:rsidR="00FF7003" w:rsidRPr="00A172CC" w:rsidRDefault="00161776" w:rsidP="00FF7003">
            <w:r>
              <w:t>40</w:t>
            </w:r>
          </w:p>
        </w:tc>
        <w:tc>
          <w:tcPr>
            <w:tcW w:w="792" w:type="dxa"/>
            <w:vAlign w:val="center"/>
          </w:tcPr>
          <w:p w14:paraId="62347B14" w14:textId="4F5C2D8F" w:rsidR="00FF7003" w:rsidRPr="00A172CC" w:rsidRDefault="00161776" w:rsidP="00FF7003">
            <w:r>
              <w:t>16</w:t>
            </w:r>
          </w:p>
        </w:tc>
        <w:tc>
          <w:tcPr>
            <w:tcW w:w="791" w:type="dxa"/>
            <w:vAlign w:val="center"/>
          </w:tcPr>
          <w:p w14:paraId="1262955F" w14:textId="77777777" w:rsidR="00FF7003" w:rsidRPr="00A172CC" w:rsidRDefault="00FF7003" w:rsidP="00FF7003"/>
        </w:tc>
        <w:tc>
          <w:tcPr>
            <w:tcW w:w="792" w:type="dxa"/>
            <w:vAlign w:val="center"/>
          </w:tcPr>
          <w:p w14:paraId="6B090E96" w14:textId="77777777" w:rsidR="00FF7003" w:rsidRPr="00A172CC" w:rsidRDefault="00FF7003" w:rsidP="00FF7003"/>
        </w:tc>
        <w:tc>
          <w:tcPr>
            <w:tcW w:w="791" w:type="dxa"/>
            <w:vAlign w:val="center"/>
          </w:tcPr>
          <w:p w14:paraId="55818FB8" w14:textId="5D847678" w:rsidR="00FF7003" w:rsidRPr="00A172CC" w:rsidRDefault="00FF7003" w:rsidP="00FF7003"/>
        </w:tc>
        <w:tc>
          <w:tcPr>
            <w:tcW w:w="792" w:type="dxa"/>
            <w:vAlign w:val="center"/>
          </w:tcPr>
          <w:p w14:paraId="6673702A" w14:textId="77777777" w:rsidR="00FF7003" w:rsidRPr="00A172CC" w:rsidRDefault="00FF7003" w:rsidP="00FF7003"/>
        </w:tc>
        <w:tc>
          <w:tcPr>
            <w:tcW w:w="791" w:type="dxa"/>
            <w:vAlign w:val="center"/>
          </w:tcPr>
          <w:p w14:paraId="75A2F1CB" w14:textId="77777777" w:rsidR="00FF7003" w:rsidRPr="00A172CC" w:rsidRDefault="00FF7003" w:rsidP="00FF7003"/>
        </w:tc>
        <w:tc>
          <w:tcPr>
            <w:tcW w:w="792" w:type="dxa"/>
            <w:vAlign w:val="center"/>
          </w:tcPr>
          <w:p w14:paraId="0722E03A" w14:textId="77777777" w:rsidR="00FF7003" w:rsidRPr="00A172CC" w:rsidRDefault="00FF7003" w:rsidP="00FF7003"/>
        </w:tc>
      </w:tr>
      <w:tr w:rsidR="00FF7003" w:rsidRPr="00A172CC" w14:paraId="2FA8EF81" w14:textId="77777777" w:rsidTr="00FF7003">
        <w:trPr>
          <w:trHeight w:hRule="exact" w:val="397"/>
        </w:trPr>
        <w:tc>
          <w:tcPr>
            <w:tcW w:w="4208" w:type="dxa"/>
            <w:vAlign w:val="center"/>
          </w:tcPr>
          <w:p w14:paraId="17A0CA9F" w14:textId="77777777" w:rsidR="00FF7003" w:rsidRPr="00A172CC" w:rsidRDefault="00FF7003" w:rsidP="00FF7003">
            <w:pPr>
              <w:rPr>
                <w:highlight w:val="yellow"/>
              </w:rPr>
            </w:pPr>
            <w:r w:rsidRPr="00A172CC">
              <w:t>Civil Dispute Resolution</w:t>
            </w:r>
          </w:p>
        </w:tc>
        <w:tc>
          <w:tcPr>
            <w:tcW w:w="1001" w:type="dxa"/>
            <w:vAlign w:val="center"/>
          </w:tcPr>
          <w:p w14:paraId="0E89F754" w14:textId="575C63F4" w:rsidR="00FF7003" w:rsidRPr="00A172CC" w:rsidRDefault="005664CA" w:rsidP="00FF7003">
            <w:r>
              <w:t>4</w:t>
            </w:r>
          </w:p>
        </w:tc>
        <w:tc>
          <w:tcPr>
            <w:tcW w:w="791" w:type="dxa"/>
            <w:vAlign w:val="center"/>
          </w:tcPr>
          <w:p w14:paraId="5DE20284" w14:textId="088C3188" w:rsidR="00FF7003" w:rsidRPr="00A172CC" w:rsidRDefault="005664CA" w:rsidP="00FF7003">
            <w:r>
              <w:t>25</w:t>
            </w:r>
          </w:p>
        </w:tc>
        <w:tc>
          <w:tcPr>
            <w:tcW w:w="792" w:type="dxa"/>
            <w:vAlign w:val="center"/>
          </w:tcPr>
          <w:p w14:paraId="42877A37" w14:textId="79B430AA" w:rsidR="00FF7003" w:rsidRPr="00A172CC" w:rsidRDefault="00FF7003" w:rsidP="00FF7003"/>
        </w:tc>
        <w:tc>
          <w:tcPr>
            <w:tcW w:w="791" w:type="dxa"/>
            <w:vAlign w:val="center"/>
          </w:tcPr>
          <w:p w14:paraId="626857E9" w14:textId="02B2D1A9" w:rsidR="00FF7003" w:rsidRPr="00A172CC" w:rsidRDefault="005664CA" w:rsidP="00FF7003">
            <w:r>
              <w:t>25</w:t>
            </w:r>
          </w:p>
        </w:tc>
        <w:tc>
          <w:tcPr>
            <w:tcW w:w="792" w:type="dxa"/>
            <w:vAlign w:val="center"/>
          </w:tcPr>
          <w:p w14:paraId="58016DDE" w14:textId="722285A2" w:rsidR="00FF7003" w:rsidRPr="00A172CC" w:rsidRDefault="005664CA" w:rsidP="00FF7003">
            <w:r>
              <w:t>25</w:t>
            </w:r>
          </w:p>
        </w:tc>
        <w:tc>
          <w:tcPr>
            <w:tcW w:w="791" w:type="dxa"/>
            <w:vAlign w:val="center"/>
          </w:tcPr>
          <w:p w14:paraId="49E0D0E3" w14:textId="0DA07B28" w:rsidR="00FF7003" w:rsidRPr="00A172CC" w:rsidRDefault="005664CA" w:rsidP="00FF7003">
            <w:r>
              <w:t>25</w:t>
            </w:r>
          </w:p>
        </w:tc>
        <w:tc>
          <w:tcPr>
            <w:tcW w:w="792" w:type="dxa"/>
            <w:vAlign w:val="center"/>
          </w:tcPr>
          <w:p w14:paraId="50BA7C3D" w14:textId="77777777" w:rsidR="00FF7003" w:rsidRPr="00A172CC" w:rsidRDefault="00FF7003" w:rsidP="00FF7003"/>
        </w:tc>
        <w:tc>
          <w:tcPr>
            <w:tcW w:w="791" w:type="dxa"/>
            <w:vAlign w:val="center"/>
          </w:tcPr>
          <w:p w14:paraId="1D3D1FF5" w14:textId="77777777" w:rsidR="00FF7003" w:rsidRPr="00A172CC" w:rsidRDefault="00FF7003" w:rsidP="00FF7003"/>
        </w:tc>
        <w:tc>
          <w:tcPr>
            <w:tcW w:w="792" w:type="dxa"/>
            <w:vAlign w:val="center"/>
          </w:tcPr>
          <w:p w14:paraId="4CFFADC7" w14:textId="77777777" w:rsidR="00FF7003" w:rsidRPr="00A172CC" w:rsidRDefault="00FF7003" w:rsidP="00FF7003"/>
        </w:tc>
        <w:tc>
          <w:tcPr>
            <w:tcW w:w="791" w:type="dxa"/>
            <w:vAlign w:val="center"/>
          </w:tcPr>
          <w:p w14:paraId="07BA98D8" w14:textId="77777777" w:rsidR="00FF7003" w:rsidRPr="00A172CC" w:rsidRDefault="00FF7003" w:rsidP="00FF7003"/>
        </w:tc>
        <w:tc>
          <w:tcPr>
            <w:tcW w:w="792" w:type="dxa"/>
            <w:vAlign w:val="center"/>
          </w:tcPr>
          <w:p w14:paraId="1C863903" w14:textId="77777777" w:rsidR="00FF7003" w:rsidRPr="00A172CC" w:rsidRDefault="00FF7003" w:rsidP="00FF7003"/>
        </w:tc>
        <w:tc>
          <w:tcPr>
            <w:tcW w:w="791" w:type="dxa"/>
            <w:vAlign w:val="center"/>
          </w:tcPr>
          <w:p w14:paraId="6445F7D0" w14:textId="77777777" w:rsidR="00FF7003" w:rsidRPr="00A172CC" w:rsidRDefault="00FF7003" w:rsidP="00FF7003"/>
        </w:tc>
        <w:tc>
          <w:tcPr>
            <w:tcW w:w="792" w:type="dxa"/>
            <w:vAlign w:val="center"/>
          </w:tcPr>
          <w:p w14:paraId="6B40CA97" w14:textId="77777777" w:rsidR="00FF7003" w:rsidRPr="00A172CC" w:rsidRDefault="00FF7003" w:rsidP="00FF7003"/>
        </w:tc>
      </w:tr>
      <w:tr w:rsidR="00FF7003" w:rsidRPr="00A172CC" w14:paraId="5B858844" w14:textId="77777777" w:rsidTr="00FF7003">
        <w:trPr>
          <w:trHeight w:hRule="exact" w:val="397"/>
        </w:trPr>
        <w:tc>
          <w:tcPr>
            <w:tcW w:w="4208" w:type="dxa"/>
            <w:vAlign w:val="center"/>
          </w:tcPr>
          <w:p w14:paraId="7EF8EA05" w14:textId="77777777" w:rsidR="00FF7003" w:rsidRPr="00A172CC" w:rsidRDefault="00FF7003" w:rsidP="00FF7003">
            <w:pPr>
              <w:rPr>
                <w:highlight w:val="yellow"/>
              </w:rPr>
            </w:pPr>
            <w:r w:rsidRPr="00A172CC">
              <w:t>Commercial Law</w:t>
            </w:r>
          </w:p>
        </w:tc>
        <w:tc>
          <w:tcPr>
            <w:tcW w:w="1001" w:type="dxa"/>
            <w:vAlign w:val="center"/>
          </w:tcPr>
          <w:p w14:paraId="2E36D0EE" w14:textId="39C9DD2B" w:rsidR="00FF7003" w:rsidRPr="00A172CC" w:rsidRDefault="00B1168C" w:rsidP="00B1168C">
            <w:pPr>
              <w:jc w:val="center"/>
            </w:pPr>
            <w:r>
              <w:t>-</w:t>
            </w:r>
          </w:p>
        </w:tc>
        <w:tc>
          <w:tcPr>
            <w:tcW w:w="791" w:type="dxa"/>
            <w:vAlign w:val="center"/>
          </w:tcPr>
          <w:p w14:paraId="07FA11E8" w14:textId="10369F07" w:rsidR="00FF7003" w:rsidRPr="00A172CC" w:rsidRDefault="00B1168C" w:rsidP="00B1168C">
            <w:pPr>
              <w:jc w:val="center"/>
            </w:pPr>
            <w:r>
              <w:t>-</w:t>
            </w:r>
          </w:p>
        </w:tc>
        <w:tc>
          <w:tcPr>
            <w:tcW w:w="792" w:type="dxa"/>
            <w:vAlign w:val="center"/>
          </w:tcPr>
          <w:p w14:paraId="1F8DA3C9" w14:textId="1A7F924F" w:rsidR="00FF7003" w:rsidRPr="00A172CC" w:rsidRDefault="00B1168C" w:rsidP="00B1168C">
            <w:pPr>
              <w:jc w:val="center"/>
            </w:pPr>
            <w:r>
              <w:t>-</w:t>
            </w:r>
          </w:p>
        </w:tc>
        <w:tc>
          <w:tcPr>
            <w:tcW w:w="791" w:type="dxa"/>
            <w:vAlign w:val="center"/>
          </w:tcPr>
          <w:p w14:paraId="17D119D5" w14:textId="2B1C8E1B" w:rsidR="00FF7003" w:rsidRPr="00A172CC" w:rsidRDefault="00B1168C" w:rsidP="00B1168C">
            <w:pPr>
              <w:jc w:val="center"/>
            </w:pPr>
            <w:r>
              <w:t>-</w:t>
            </w:r>
          </w:p>
        </w:tc>
        <w:tc>
          <w:tcPr>
            <w:tcW w:w="792" w:type="dxa"/>
            <w:vAlign w:val="center"/>
          </w:tcPr>
          <w:p w14:paraId="4BD8C29D" w14:textId="01847E80" w:rsidR="00FF7003" w:rsidRPr="00A172CC" w:rsidRDefault="00B1168C" w:rsidP="00B1168C">
            <w:pPr>
              <w:jc w:val="center"/>
            </w:pPr>
            <w:r>
              <w:t>-</w:t>
            </w:r>
          </w:p>
        </w:tc>
        <w:tc>
          <w:tcPr>
            <w:tcW w:w="791" w:type="dxa"/>
            <w:vAlign w:val="center"/>
          </w:tcPr>
          <w:p w14:paraId="55AEF0C1" w14:textId="52F59C10" w:rsidR="00FF7003" w:rsidRPr="00A172CC" w:rsidRDefault="00B1168C" w:rsidP="00B1168C">
            <w:pPr>
              <w:jc w:val="center"/>
            </w:pPr>
            <w:r>
              <w:t>-</w:t>
            </w:r>
          </w:p>
        </w:tc>
        <w:tc>
          <w:tcPr>
            <w:tcW w:w="792" w:type="dxa"/>
            <w:vAlign w:val="center"/>
          </w:tcPr>
          <w:p w14:paraId="3356EF49" w14:textId="3370E80F" w:rsidR="00FF7003" w:rsidRPr="00A172CC" w:rsidRDefault="00B1168C" w:rsidP="00B1168C">
            <w:pPr>
              <w:jc w:val="center"/>
            </w:pPr>
            <w:r>
              <w:t>-</w:t>
            </w:r>
          </w:p>
        </w:tc>
        <w:tc>
          <w:tcPr>
            <w:tcW w:w="791" w:type="dxa"/>
            <w:vAlign w:val="center"/>
          </w:tcPr>
          <w:p w14:paraId="29268ED3" w14:textId="0D834904" w:rsidR="00FF7003" w:rsidRPr="00A172CC" w:rsidRDefault="00B1168C" w:rsidP="00B1168C">
            <w:pPr>
              <w:jc w:val="center"/>
            </w:pPr>
            <w:r>
              <w:t>-</w:t>
            </w:r>
          </w:p>
        </w:tc>
        <w:tc>
          <w:tcPr>
            <w:tcW w:w="792" w:type="dxa"/>
            <w:vAlign w:val="center"/>
          </w:tcPr>
          <w:p w14:paraId="4741FD2F" w14:textId="0094CF76" w:rsidR="00FF7003" w:rsidRPr="00A172CC" w:rsidRDefault="00B1168C" w:rsidP="00B1168C">
            <w:pPr>
              <w:jc w:val="center"/>
            </w:pPr>
            <w:r>
              <w:t>-</w:t>
            </w:r>
          </w:p>
        </w:tc>
        <w:tc>
          <w:tcPr>
            <w:tcW w:w="791" w:type="dxa"/>
            <w:vAlign w:val="center"/>
          </w:tcPr>
          <w:p w14:paraId="499AC752" w14:textId="67E78D66" w:rsidR="00FF7003" w:rsidRPr="00A172CC" w:rsidRDefault="00B1168C" w:rsidP="00B1168C">
            <w:pPr>
              <w:jc w:val="center"/>
            </w:pPr>
            <w:r>
              <w:t>-</w:t>
            </w:r>
          </w:p>
        </w:tc>
        <w:tc>
          <w:tcPr>
            <w:tcW w:w="792" w:type="dxa"/>
            <w:vAlign w:val="center"/>
          </w:tcPr>
          <w:p w14:paraId="51DD670F" w14:textId="3928705A" w:rsidR="00FF7003" w:rsidRPr="00A172CC" w:rsidRDefault="00B1168C" w:rsidP="00B1168C">
            <w:pPr>
              <w:jc w:val="center"/>
            </w:pPr>
            <w:r>
              <w:t>-</w:t>
            </w:r>
          </w:p>
        </w:tc>
        <w:tc>
          <w:tcPr>
            <w:tcW w:w="791" w:type="dxa"/>
            <w:vAlign w:val="center"/>
          </w:tcPr>
          <w:p w14:paraId="35C79539" w14:textId="5F6AFA05" w:rsidR="00FF7003" w:rsidRPr="00A172CC" w:rsidRDefault="00B1168C" w:rsidP="00B1168C">
            <w:pPr>
              <w:jc w:val="center"/>
            </w:pPr>
            <w:r>
              <w:t>-</w:t>
            </w:r>
          </w:p>
        </w:tc>
        <w:tc>
          <w:tcPr>
            <w:tcW w:w="792" w:type="dxa"/>
            <w:vAlign w:val="center"/>
          </w:tcPr>
          <w:p w14:paraId="44B47F54" w14:textId="26067D0A" w:rsidR="00FF7003" w:rsidRPr="00A172CC" w:rsidRDefault="00B1168C" w:rsidP="00B1168C">
            <w:pPr>
              <w:jc w:val="center"/>
            </w:pPr>
            <w:r>
              <w:t>-</w:t>
            </w:r>
          </w:p>
        </w:tc>
      </w:tr>
      <w:tr w:rsidR="00FF7003" w:rsidRPr="00A172CC" w14:paraId="4E12439B" w14:textId="77777777" w:rsidTr="00FF7003">
        <w:trPr>
          <w:trHeight w:hRule="exact" w:val="397"/>
        </w:trPr>
        <w:tc>
          <w:tcPr>
            <w:tcW w:w="4208" w:type="dxa"/>
            <w:vAlign w:val="center"/>
          </w:tcPr>
          <w:p w14:paraId="2CC96EDF" w14:textId="77777777" w:rsidR="00FF7003" w:rsidRPr="00A172CC" w:rsidRDefault="00FF7003" w:rsidP="00FF7003">
            <w:pPr>
              <w:rPr>
                <w:highlight w:val="yellow"/>
              </w:rPr>
            </w:pPr>
            <w:r w:rsidRPr="00A172CC">
              <w:t>Company Law</w:t>
            </w:r>
          </w:p>
        </w:tc>
        <w:tc>
          <w:tcPr>
            <w:tcW w:w="1001" w:type="dxa"/>
            <w:vAlign w:val="center"/>
          </w:tcPr>
          <w:p w14:paraId="46AF3681" w14:textId="05470C3E" w:rsidR="00FF7003" w:rsidRPr="00A172CC" w:rsidRDefault="00B1168C" w:rsidP="00FF7003">
            <w:r>
              <w:t>23</w:t>
            </w:r>
          </w:p>
        </w:tc>
        <w:tc>
          <w:tcPr>
            <w:tcW w:w="791" w:type="dxa"/>
            <w:vAlign w:val="center"/>
          </w:tcPr>
          <w:p w14:paraId="4ACAD65E" w14:textId="77777777" w:rsidR="00FF7003" w:rsidRPr="00A172CC" w:rsidRDefault="00FF7003" w:rsidP="00FF7003"/>
        </w:tc>
        <w:tc>
          <w:tcPr>
            <w:tcW w:w="792" w:type="dxa"/>
            <w:vAlign w:val="center"/>
          </w:tcPr>
          <w:p w14:paraId="628EB661" w14:textId="7B703629" w:rsidR="00FF7003" w:rsidRPr="00A172CC" w:rsidRDefault="00FF7003" w:rsidP="00FF7003"/>
        </w:tc>
        <w:tc>
          <w:tcPr>
            <w:tcW w:w="791" w:type="dxa"/>
            <w:vAlign w:val="center"/>
          </w:tcPr>
          <w:p w14:paraId="17F7861A" w14:textId="2D154030" w:rsidR="00FF7003" w:rsidRPr="00A172CC" w:rsidRDefault="00B1168C" w:rsidP="00FF7003">
            <w:r>
              <w:t>13</w:t>
            </w:r>
          </w:p>
        </w:tc>
        <w:tc>
          <w:tcPr>
            <w:tcW w:w="792" w:type="dxa"/>
            <w:vAlign w:val="center"/>
          </w:tcPr>
          <w:p w14:paraId="0DE04547" w14:textId="50252420" w:rsidR="00FF7003" w:rsidRPr="00A172CC" w:rsidRDefault="00B1168C" w:rsidP="00FF7003">
            <w:r>
              <w:t>30</w:t>
            </w:r>
          </w:p>
        </w:tc>
        <w:tc>
          <w:tcPr>
            <w:tcW w:w="791" w:type="dxa"/>
            <w:vAlign w:val="center"/>
          </w:tcPr>
          <w:p w14:paraId="6FCE6040" w14:textId="75A598D9" w:rsidR="00FF7003" w:rsidRPr="00A172CC" w:rsidRDefault="00B1168C" w:rsidP="00FF7003">
            <w:r>
              <w:t>26</w:t>
            </w:r>
          </w:p>
        </w:tc>
        <w:tc>
          <w:tcPr>
            <w:tcW w:w="792" w:type="dxa"/>
            <w:vAlign w:val="center"/>
          </w:tcPr>
          <w:p w14:paraId="5B4F5E93" w14:textId="46D52632" w:rsidR="00FF7003" w:rsidRPr="00A172CC" w:rsidRDefault="00B1168C" w:rsidP="00FF7003">
            <w:r>
              <w:t>17.5</w:t>
            </w:r>
          </w:p>
        </w:tc>
        <w:tc>
          <w:tcPr>
            <w:tcW w:w="791" w:type="dxa"/>
            <w:vAlign w:val="center"/>
          </w:tcPr>
          <w:p w14:paraId="0EEC19D4" w14:textId="494BD8A8" w:rsidR="00FF7003" w:rsidRPr="00A172CC" w:rsidRDefault="00B1168C" w:rsidP="00FF7003">
            <w:r>
              <w:t>4.5</w:t>
            </w:r>
          </w:p>
        </w:tc>
        <w:tc>
          <w:tcPr>
            <w:tcW w:w="792" w:type="dxa"/>
            <w:vAlign w:val="center"/>
          </w:tcPr>
          <w:p w14:paraId="12A78720" w14:textId="528D6429" w:rsidR="00FF7003" w:rsidRPr="00A172CC" w:rsidRDefault="00B1168C" w:rsidP="00FF7003">
            <w:r>
              <w:t>4.5</w:t>
            </w:r>
          </w:p>
        </w:tc>
        <w:tc>
          <w:tcPr>
            <w:tcW w:w="791" w:type="dxa"/>
            <w:vAlign w:val="center"/>
          </w:tcPr>
          <w:p w14:paraId="3FF79770" w14:textId="77777777" w:rsidR="00FF7003" w:rsidRPr="00A172CC" w:rsidRDefault="00FF7003" w:rsidP="00FF7003"/>
        </w:tc>
        <w:tc>
          <w:tcPr>
            <w:tcW w:w="792" w:type="dxa"/>
            <w:vAlign w:val="center"/>
          </w:tcPr>
          <w:p w14:paraId="1879821A" w14:textId="71CDD2C9" w:rsidR="00FF7003" w:rsidRPr="00A172CC" w:rsidRDefault="00FF7003" w:rsidP="00FF7003"/>
        </w:tc>
        <w:tc>
          <w:tcPr>
            <w:tcW w:w="791" w:type="dxa"/>
            <w:vAlign w:val="center"/>
          </w:tcPr>
          <w:p w14:paraId="7EC5D35D" w14:textId="77777777" w:rsidR="00FF7003" w:rsidRDefault="00B1168C" w:rsidP="00FF7003">
            <w:r>
              <w:t>4.5</w:t>
            </w:r>
          </w:p>
          <w:p w14:paraId="0880CDD4" w14:textId="0160EF37" w:rsidR="003C68DF" w:rsidRPr="00A172CC" w:rsidRDefault="003C68DF" w:rsidP="00FF7003"/>
        </w:tc>
        <w:tc>
          <w:tcPr>
            <w:tcW w:w="792" w:type="dxa"/>
            <w:vAlign w:val="center"/>
          </w:tcPr>
          <w:p w14:paraId="50650233" w14:textId="77777777" w:rsidR="00FF7003" w:rsidRPr="00A172CC" w:rsidRDefault="00FF7003" w:rsidP="00FF7003"/>
        </w:tc>
      </w:tr>
      <w:tr w:rsidR="00FF7003" w:rsidRPr="00A172CC" w14:paraId="46A87F71" w14:textId="77777777" w:rsidTr="00FF7003">
        <w:trPr>
          <w:trHeight w:hRule="exact" w:val="397"/>
        </w:trPr>
        <w:tc>
          <w:tcPr>
            <w:tcW w:w="4208" w:type="dxa"/>
            <w:vAlign w:val="center"/>
          </w:tcPr>
          <w:p w14:paraId="2DB86C6C" w14:textId="77777777" w:rsidR="00FF7003" w:rsidRPr="00A172CC" w:rsidRDefault="00FF7003" w:rsidP="00FF7003">
            <w:pPr>
              <w:rPr>
                <w:highlight w:val="yellow"/>
              </w:rPr>
            </w:pPr>
            <w:r w:rsidRPr="00A172CC">
              <w:t>Comparative Private Law</w:t>
            </w:r>
          </w:p>
        </w:tc>
        <w:tc>
          <w:tcPr>
            <w:tcW w:w="1001" w:type="dxa"/>
            <w:vAlign w:val="center"/>
          </w:tcPr>
          <w:p w14:paraId="17244048" w14:textId="169BE063" w:rsidR="00FF7003" w:rsidRPr="00A172CC" w:rsidRDefault="00035E9D" w:rsidP="00FF7003">
            <w:r>
              <w:t>16</w:t>
            </w:r>
          </w:p>
        </w:tc>
        <w:tc>
          <w:tcPr>
            <w:tcW w:w="791" w:type="dxa"/>
            <w:vAlign w:val="center"/>
          </w:tcPr>
          <w:p w14:paraId="64C2C3D9" w14:textId="1A5B4035" w:rsidR="00FF7003" w:rsidRPr="00A172CC" w:rsidRDefault="00035E9D" w:rsidP="00FF7003">
            <w:r>
              <w:t>6</w:t>
            </w:r>
          </w:p>
        </w:tc>
        <w:tc>
          <w:tcPr>
            <w:tcW w:w="792" w:type="dxa"/>
            <w:vAlign w:val="center"/>
          </w:tcPr>
          <w:p w14:paraId="1EE056CB" w14:textId="35723179" w:rsidR="00FF7003" w:rsidRPr="00A172CC" w:rsidRDefault="00035E9D" w:rsidP="00FF7003">
            <w:r>
              <w:t>19</w:t>
            </w:r>
          </w:p>
        </w:tc>
        <w:tc>
          <w:tcPr>
            <w:tcW w:w="791" w:type="dxa"/>
            <w:vAlign w:val="center"/>
          </w:tcPr>
          <w:p w14:paraId="1F6E5FFF" w14:textId="78E0CDBD" w:rsidR="00FF7003" w:rsidRPr="00A172CC" w:rsidRDefault="00035E9D" w:rsidP="00FF7003">
            <w:r>
              <w:t>16</w:t>
            </w:r>
          </w:p>
        </w:tc>
        <w:tc>
          <w:tcPr>
            <w:tcW w:w="792" w:type="dxa"/>
            <w:vAlign w:val="center"/>
          </w:tcPr>
          <w:p w14:paraId="68658097" w14:textId="02A955D6" w:rsidR="00FF7003" w:rsidRPr="00A172CC" w:rsidRDefault="00035E9D" w:rsidP="00FF7003">
            <w:r>
              <w:t>19</w:t>
            </w:r>
          </w:p>
        </w:tc>
        <w:tc>
          <w:tcPr>
            <w:tcW w:w="791" w:type="dxa"/>
            <w:vAlign w:val="center"/>
          </w:tcPr>
          <w:p w14:paraId="19032196" w14:textId="7F463306" w:rsidR="00FF7003" w:rsidRPr="00A172CC" w:rsidRDefault="00035E9D" w:rsidP="00FF7003">
            <w:r>
              <w:t>6</w:t>
            </w:r>
          </w:p>
        </w:tc>
        <w:tc>
          <w:tcPr>
            <w:tcW w:w="792" w:type="dxa"/>
            <w:vAlign w:val="center"/>
          </w:tcPr>
          <w:p w14:paraId="282C2D38" w14:textId="181A11CA" w:rsidR="00FF7003" w:rsidRPr="00A172CC" w:rsidRDefault="00112E3E" w:rsidP="00FF7003">
            <w:r>
              <w:t>16</w:t>
            </w:r>
          </w:p>
        </w:tc>
        <w:tc>
          <w:tcPr>
            <w:tcW w:w="791" w:type="dxa"/>
            <w:vAlign w:val="center"/>
          </w:tcPr>
          <w:p w14:paraId="41CF79E3" w14:textId="0F5DF8B1" w:rsidR="00FF7003" w:rsidRPr="00A172CC" w:rsidRDefault="00035E9D" w:rsidP="00FF7003">
            <w:r>
              <w:t>6</w:t>
            </w:r>
          </w:p>
        </w:tc>
        <w:tc>
          <w:tcPr>
            <w:tcW w:w="792" w:type="dxa"/>
            <w:vAlign w:val="center"/>
          </w:tcPr>
          <w:p w14:paraId="4F83CA50" w14:textId="478025C5" w:rsidR="00FF7003" w:rsidRPr="00A172CC" w:rsidRDefault="00035E9D" w:rsidP="00FF7003">
            <w:r>
              <w:t>6</w:t>
            </w:r>
          </w:p>
        </w:tc>
        <w:tc>
          <w:tcPr>
            <w:tcW w:w="791" w:type="dxa"/>
            <w:vAlign w:val="center"/>
          </w:tcPr>
          <w:p w14:paraId="0DF53888" w14:textId="1E29F037" w:rsidR="00FF7003" w:rsidRPr="00A172CC" w:rsidRDefault="00035E9D" w:rsidP="00FF7003">
            <w:r>
              <w:t>6</w:t>
            </w:r>
          </w:p>
        </w:tc>
        <w:tc>
          <w:tcPr>
            <w:tcW w:w="792" w:type="dxa"/>
            <w:vAlign w:val="center"/>
          </w:tcPr>
          <w:p w14:paraId="1386683D" w14:textId="77777777" w:rsidR="00FF7003" w:rsidRPr="00A172CC" w:rsidRDefault="00FF7003" w:rsidP="00FF7003"/>
        </w:tc>
        <w:tc>
          <w:tcPr>
            <w:tcW w:w="791" w:type="dxa"/>
            <w:vAlign w:val="center"/>
          </w:tcPr>
          <w:p w14:paraId="2659B3CB" w14:textId="551F6BF7" w:rsidR="00FF7003" w:rsidRPr="00A172CC" w:rsidRDefault="00FF7003" w:rsidP="00FF7003"/>
        </w:tc>
        <w:tc>
          <w:tcPr>
            <w:tcW w:w="792" w:type="dxa"/>
            <w:vAlign w:val="center"/>
          </w:tcPr>
          <w:p w14:paraId="5A533F19" w14:textId="77777777" w:rsidR="00FF7003" w:rsidRPr="00A172CC" w:rsidRDefault="00FF7003" w:rsidP="00FF7003"/>
        </w:tc>
      </w:tr>
      <w:tr w:rsidR="00FF7003" w:rsidRPr="00A172CC" w14:paraId="7F64483E" w14:textId="77777777" w:rsidTr="00FF7003">
        <w:trPr>
          <w:trHeight w:hRule="exact" w:val="397"/>
        </w:trPr>
        <w:tc>
          <w:tcPr>
            <w:tcW w:w="4208" w:type="dxa"/>
            <w:vAlign w:val="center"/>
          </w:tcPr>
          <w:p w14:paraId="492DF854" w14:textId="77777777" w:rsidR="00FF7003" w:rsidRPr="00A172CC" w:rsidRDefault="00FF7003" w:rsidP="00FF7003">
            <w:pPr>
              <w:rPr>
                <w:highlight w:val="yellow"/>
              </w:rPr>
            </w:pPr>
            <w:r w:rsidRPr="00A172CC">
              <w:t>Competition Law and Policy</w:t>
            </w:r>
          </w:p>
        </w:tc>
        <w:tc>
          <w:tcPr>
            <w:tcW w:w="1001" w:type="dxa"/>
            <w:vAlign w:val="center"/>
          </w:tcPr>
          <w:p w14:paraId="039C8609" w14:textId="34DA97E1" w:rsidR="00FF7003" w:rsidRPr="00A172CC" w:rsidRDefault="00112E3E" w:rsidP="00FF7003">
            <w:r>
              <w:t>22</w:t>
            </w:r>
          </w:p>
        </w:tc>
        <w:tc>
          <w:tcPr>
            <w:tcW w:w="791" w:type="dxa"/>
            <w:vAlign w:val="center"/>
          </w:tcPr>
          <w:p w14:paraId="26CEC0BE" w14:textId="77777777" w:rsidR="00FF7003" w:rsidRPr="00A172CC" w:rsidRDefault="00FF7003" w:rsidP="00FF7003"/>
        </w:tc>
        <w:tc>
          <w:tcPr>
            <w:tcW w:w="792" w:type="dxa"/>
            <w:vAlign w:val="center"/>
          </w:tcPr>
          <w:p w14:paraId="64C4F8B6" w14:textId="448BD888" w:rsidR="00FF7003" w:rsidRPr="00A172CC" w:rsidRDefault="00112E3E" w:rsidP="00FF7003">
            <w:r>
              <w:t>4.5</w:t>
            </w:r>
          </w:p>
        </w:tc>
        <w:tc>
          <w:tcPr>
            <w:tcW w:w="791" w:type="dxa"/>
            <w:vAlign w:val="center"/>
          </w:tcPr>
          <w:p w14:paraId="73864717" w14:textId="4F4A2077" w:rsidR="00FF7003" w:rsidRPr="00A172CC" w:rsidRDefault="00112E3E" w:rsidP="00FF7003">
            <w:r>
              <w:t>28</w:t>
            </w:r>
          </w:p>
        </w:tc>
        <w:tc>
          <w:tcPr>
            <w:tcW w:w="792" w:type="dxa"/>
            <w:vAlign w:val="center"/>
          </w:tcPr>
          <w:p w14:paraId="0162298E" w14:textId="5F4CC856" w:rsidR="00FF7003" w:rsidRPr="00A172CC" w:rsidRDefault="00112E3E" w:rsidP="00FF7003">
            <w:r>
              <w:t>9</w:t>
            </w:r>
          </w:p>
        </w:tc>
        <w:tc>
          <w:tcPr>
            <w:tcW w:w="791" w:type="dxa"/>
            <w:vAlign w:val="center"/>
          </w:tcPr>
          <w:p w14:paraId="2DE0EB27" w14:textId="4971D9D4" w:rsidR="00FF7003" w:rsidRPr="00A172CC" w:rsidRDefault="00112E3E" w:rsidP="00FF7003">
            <w:r>
              <w:t>32</w:t>
            </w:r>
          </w:p>
        </w:tc>
        <w:tc>
          <w:tcPr>
            <w:tcW w:w="792" w:type="dxa"/>
            <w:vAlign w:val="center"/>
          </w:tcPr>
          <w:p w14:paraId="28AA0459" w14:textId="464DA6A7" w:rsidR="00FF7003" w:rsidRPr="00A172CC" w:rsidRDefault="00112E3E" w:rsidP="00FF7003">
            <w:r>
              <w:t>17</w:t>
            </w:r>
          </w:p>
        </w:tc>
        <w:tc>
          <w:tcPr>
            <w:tcW w:w="791" w:type="dxa"/>
            <w:vAlign w:val="center"/>
          </w:tcPr>
          <w:p w14:paraId="1D758CC2" w14:textId="622D0EB6" w:rsidR="00FF7003" w:rsidRPr="00A172CC" w:rsidRDefault="00FF7003" w:rsidP="00FF7003"/>
        </w:tc>
        <w:tc>
          <w:tcPr>
            <w:tcW w:w="792" w:type="dxa"/>
            <w:vAlign w:val="center"/>
          </w:tcPr>
          <w:p w14:paraId="41A5B612" w14:textId="250408E2" w:rsidR="00FF7003" w:rsidRPr="00A172CC" w:rsidRDefault="00112E3E" w:rsidP="00FF7003">
            <w:r>
              <w:t>4.5</w:t>
            </w:r>
          </w:p>
        </w:tc>
        <w:tc>
          <w:tcPr>
            <w:tcW w:w="791" w:type="dxa"/>
            <w:vAlign w:val="center"/>
          </w:tcPr>
          <w:p w14:paraId="0D46AC98" w14:textId="6EEF7921" w:rsidR="00FF7003" w:rsidRPr="00A172CC" w:rsidRDefault="00112E3E" w:rsidP="00FF7003">
            <w:r>
              <w:t>4.5</w:t>
            </w:r>
          </w:p>
        </w:tc>
        <w:tc>
          <w:tcPr>
            <w:tcW w:w="792" w:type="dxa"/>
            <w:vAlign w:val="center"/>
          </w:tcPr>
          <w:p w14:paraId="6B57E921" w14:textId="77777777" w:rsidR="00FF7003" w:rsidRPr="00A172CC" w:rsidRDefault="00FF7003" w:rsidP="00FF7003"/>
        </w:tc>
        <w:tc>
          <w:tcPr>
            <w:tcW w:w="791" w:type="dxa"/>
            <w:vAlign w:val="center"/>
          </w:tcPr>
          <w:p w14:paraId="269793BF" w14:textId="77777777" w:rsidR="00FF7003" w:rsidRPr="00A172CC" w:rsidRDefault="00FF7003" w:rsidP="00FF7003"/>
        </w:tc>
        <w:tc>
          <w:tcPr>
            <w:tcW w:w="792" w:type="dxa"/>
            <w:vAlign w:val="center"/>
          </w:tcPr>
          <w:p w14:paraId="200BCA80" w14:textId="77777777" w:rsidR="00FF7003" w:rsidRPr="00A172CC" w:rsidRDefault="00FF7003" w:rsidP="00FF7003"/>
        </w:tc>
      </w:tr>
      <w:tr w:rsidR="00FF7003" w:rsidRPr="00A172CC" w14:paraId="6EFECCDC" w14:textId="77777777" w:rsidTr="00FF7003">
        <w:trPr>
          <w:trHeight w:hRule="exact" w:val="397"/>
        </w:trPr>
        <w:tc>
          <w:tcPr>
            <w:tcW w:w="4208" w:type="dxa"/>
            <w:vAlign w:val="center"/>
          </w:tcPr>
          <w:p w14:paraId="4534781F" w14:textId="77777777" w:rsidR="00FF7003" w:rsidRPr="00A172CC" w:rsidRDefault="00FF7003" w:rsidP="00FF7003">
            <w:pPr>
              <w:rPr>
                <w:highlight w:val="yellow"/>
              </w:rPr>
            </w:pPr>
            <w:r w:rsidRPr="00A172CC">
              <w:t>Constitutional Law</w:t>
            </w:r>
          </w:p>
        </w:tc>
        <w:tc>
          <w:tcPr>
            <w:tcW w:w="1001" w:type="dxa"/>
            <w:vAlign w:val="center"/>
          </w:tcPr>
          <w:p w14:paraId="08F11202" w14:textId="447D508E" w:rsidR="00FF7003" w:rsidRPr="00A172CC" w:rsidRDefault="00385FD5" w:rsidP="00FF7003">
            <w:r>
              <w:t>9</w:t>
            </w:r>
          </w:p>
        </w:tc>
        <w:tc>
          <w:tcPr>
            <w:tcW w:w="791" w:type="dxa"/>
            <w:vAlign w:val="center"/>
          </w:tcPr>
          <w:p w14:paraId="234C9AEA" w14:textId="77777777" w:rsidR="00FF7003" w:rsidRPr="00A172CC" w:rsidRDefault="00FF7003" w:rsidP="00FF7003"/>
        </w:tc>
        <w:tc>
          <w:tcPr>
            <w:tcW w:w="792" w:type="dxa"/>
            <w:vAlign w:val="center"/>
          </w:tcPr>
          <w:p w14:paraId="4CDFC1B9" w14:textId="46484361" w:rsidR="00FF7003" w:rsidRPr="00A172CC" w:rsidRDefault="00BE2ECC" w:rsidP="00FF7003">
            <w:r>
              <w:t>1</w:t>
            </w:r>
          </w:p>
        </w:tc>
        <w:tc>
          <w:tcPr>
            <w:tcW w:w="791" w:type="dxa"/>
            <w:vAlign w:val="center"/>
          </w:tcPr>
          <w:p w14:paraId="3F17B152" w14:textId="0C9B8BA0" w:rsidR="00FF7003" w:rsidRPr="00A172CC" w:rsidRDefault="00BE2ECC" w:rsidP="00FF7003">
            <w:r>
              <w:t>2</w:t>
            </w:r>
          </w:p>
        </w:tc>
        <w:tc>
          <w:tcPr>
            <w:tcW w:w="792" w:type="dxa"/>
            <w:vAlign w:val="center"/>
          </w:tcPr>
          <w:p w14:paraId="0AFA6BD6" w14:textId="307B7DF2" w:rsidR="00FF7003" w:rsidRPr="00A172CC" w:rsidRDefault="00BE2ECC" w:rsidP="00FF7003">
            <w:r>
              <w:t>1</w:t>
            </w:r>
          </w:p>
        </w:tc>
        <w:tc>
          <w:tcPr>
            <w:tcW w:w="791" w:type="dxa"/>
            <w:vAlign w:val="center"/>
          </w:tcPr>
          <w:p w14:paraId="4407AA70" w14:textId="69CB1F45" w:rsidR="00FF7003" w:rsidRPr="00A172CC" w:rsidRDefault="00BE2ECC" w:rsidP="00FF7003">
            <w:r>
              <w:t>3</w:t>
            </w:r>
          </w:p>
        </w:tc>
        <w:tc>
          <w:tcPr>
            <w:tcW w:w="792" w:type="dxa"/>
            <w:vAlign w:val="center"/>
          </w:tcPr>
          <w:p w14:paraId="75225F47" w14:textId="795AB6D5" w:rsidR="00FF7003" w:rsidRPr="00A172CC" w:rsidRDefault="00BE2ECC" w:rsidP="00FF7003">
            <w:r>
              <w:t>2</w:t>
            </w:r>
          </w:p>
        </w:tc>
        <w:tc>
          <w:tcPr>
            <w:tcW w:w="791" w:type="dxa"/>
            <w:vAlign w:val="center"/>
          </w:tcPr>
          <w:p w14:paraId="42AE29C5" w14:textId="77777777" w:rsidR="00FF7003" w:rsidRPr="00A172CC" w:rsidRDefault="00FF7003" w:rsidP="00FF7003"/>
        </w:tc>
        <w:tc>
          <w:tcPr>
            <w:tcW w:w="792" w:type="dxa"/>
            <w:vAlign w:val="center"/>
          </w:tcPr>
          <w:p w14:paraId="2E853186" w14:textId="77777777" w:rsidR="00FF7003" w:rsidRPr="00A172CC" w:rsidRDefault="00FF7003" w:rsidP="00FF7003"/>
        </w:tc>
        <w:tc>
          <w:tcPr>
            <w:tcW w:w="791" w:type="dxa"/>
            <w:vAlign w:val="center"/>
          </w:tcPr>
          <w:p w14:paraId="46C9BC0B" w14:textId="21A2B7E3" w:rsidR="00FF7003" w:rsidRPr="00A172CC" w:rsidRDefault="00FF7003" w:rsidP="00FF7003"/>
        </w:tc>
        <w:tc>
          <w:tcPr>
            <w:tcW w:w="792" w:type="dxa"/>
            <w:vAlign w:val="center"/>
          </w:tcPr>
          <w:p w14:paraId="443FCE15" w14:textId="77777777" w:rsidR="00FF7003" w:rsidRPr="00A172CC" w:rsidRDefault="00FF7003" w:rsidP="00FF7003"/>
        </w:tc>
        <w:tc>
          <w:tcPr>
            <w:tcW w:w="791" w:type="dxa"/>
            <w:vAlign w:val="center"/>
          </w:tcPr>
          <w:p w14:paraId="5ED1DE88" w14:textId="77777777" w:rsidR="00FF7003" w:rsidRPr="00A172CC" w:rsidRDefault="00FF7003" w:rsidP="00FF7003"/>
        </w:tc>
        <w:tc>
          <w:tcPr>
            <w:tcW w:w="792" w:type="dxa"/>
            <w:vAlign w:val="center"/>
          </w:tcPr>
          <w:p w14:paraId="3452FE9E" w14:textId="77777777" w:rsidR="00FF7003" w:rsidRPr="00A172CC" w:rsidRDefault="00FF7003" w:rsidP="00FF7003"/>
        </w:tc>
      </w:tr>
      <w:tr w:rsidR="00FF7003" w:rsidRPr="00A172CC" w14:paraId="78D1190B" w14:textId="77777777" w:rsidTr="00FF7003">
        <w:trPr>
          <w:trHeight w:hRule="exact" w:val="397"/>
        </w:trPr>
        <w:tc>
          <w:tcPr>
            <w:tcW w:w="4208" w:type="dxa"/>
            <w:vAlign w:val="center"/>
          </w:tcPr>
          <w:p w14:paraId="40060F7B" w14:textId="77777777" w:rsidR="00FF7003" w:rsidRPr="00A172CC" w:rsidRDefault="00FF7003" w:rsidP="00FF7003">
            <w:pPr>
              <w:rPr>
                <w:highlight w:val="yellow"/>
              </w:rPr>
            </w:pPr>
            <w:r w:rsidRPr="00A172CC">
              <w:t>Copyright, Patents and Allied Rights</w:t>
            </w:r>
          </w:p>
        </w:tc>
        <w:tc>
          <w:tcPr>
            <w:tcW w:w="1001" w:type="dxa"/>
            <w:vAlign w:val="center"/>
          </w:tcPr>
          <w:p w14:paraId="438CA964" w14:textId="172590F2" w:rsidR="00FF7003" w:rsidRPr="00A172CC" w:rsidRDefault="00771973" w:rsidP="00771973">
            <w:pPr>
              <w:jc w:val="center"/>
            </w:pPr>
            <w:r>
              <w:t>-</w:t>
            </w:r>
          </w:p>
        </w:tc>
        <w:tc>
          <w:tcPr>
            <w:tcW w:w="791" w:type="dxa"/>
            <w:vAlign w:val="center"/>
          </w:tcPr>
          <w:p w14:paraId="064B34A7" w14:textId="17365062" w:rsidR="00FF7003" w:rsidRPr="00A172CC" w:rsidRDefault="00771973" w:rsidP="00771973">
            <w:pPr>
              <w:jc w:val="center"/>
            </w:pPr>
            <w:r>
              <w:t>-</w:t>
            </w:r>
          </w:p>
        </w:tc>
        <w:tc>
          <w:tcPr>
            <w:tcW w:w="792" w:type="dxa"/>
            <w:vAlign w:val="center"/>
          </w:tcPr>
          <w:p w14:paraId="0E2F9D8C" w14:textId="19B6897C" w:rsidR="00FF7003" w:rsidRPr="00A172CC" w:rsidRDefault="00771973" w:rsidP="00771973">
            <w:pPr>
              <w:jc w:val="center"/>
            </w:pPr>
            <w:r>
              <w:t>-</w:t>
            </w:r>
          </w:p>
        </w:tc>
        <w:tc>
          <w:tcPr>
            <w:tcW w:w="791" w:type="dxa"/>
            <w:vAlign w:val="center"/>
          </w:tcPr>
          <w:p w14:paraId="53BBC426" w14:textId="0AC51146" w:rsidR="00FF7003" w:rsidRPr="00A172CC" w:rsidRDefault="00771973" w:rsidP="00771973">
            <w:pPr>
              <w:jc w:val="center"/>
            </w:pPr>
            <w:r>
              <w:t>-</w:t>
            </w:r>
          </w:p>
        </w:tc>
        <w:tc>
          <w:tcPr>
            <w:tcW w:w="792" w:type="dxa"/>
            <w:vAlign w:val="center"/>
          </w:tcPr>
          <w:p w14:paraId="6560B9CC" w14:textId="453458E3" w:rsidR="00FF7003" w:rsidRPr="00A172CC" w:rsidRDefault="00771973" w:rsidP="00771973">
            <w:pPr>
              <w:jc w:val="center"/>
            </w:pPr>
            <w:r>
              <w:t>-</w:t>
            </w:r>
          </w:p>
        </w:tc>
        <w:tc>
          <w:tcPr>
            <w:tcW w:w="791" w:type="dxa"/>
            <w:vAlign w:val="center"/>
          </w:tcPr>
          <w:p w14:paraId="4AC4B8B3" w14:textId="0442C79F" w:rsidR="00FF7003" w:rsidRPr="00A172CC" w:rsidRDefault="00771973" w:rsidP="00771973">
            <w:pPr>
              <w:jc w:val="center"/>
            </w:pPr>
            <w:r>
              <w:t>-</w:t>
            </w:r>
          </w:p>
        </w:tc>
        <w:tc>
          <w:tcPr>
            <w:tcW w:w="792" w:type="dxa"/>
            <w:vAlign w:val="center"/>
          </w:tcPr>
          <w:p w14:paraId="77EE92F3" w14:textId="10F0D95C" w:rsidR="00FF7003" w:rsidRPr="00A172CC" w:rsidRDefault="00771973" w:rsidP="00771973">
            <w:pPr>
              <w:jc w:val="center"/>
            </w:pPr>
            <w:r>
              <w:t>-</w:t>
            </w:r>
          </w:p>
        </w:tc>
        <w:tc>
          <w:tcPr>
            <w:tcW w:w="791" w:type="dxa"/>
            <w:vAlign w:val="center"/>
          </w:tcPr>
          <w:p w14:paraId="16887203" w14:textId="02CF538D" w:rsidR="00FF7003" w:rsidRPr="00A172CC" w:rsidRDefault="00771973" w:rsidP="00771973">
            <w:pPr>
              <w:jc w:val="center"/>
            </w:pPr>
            <w:r>
              <w:t>-</w:t>
            </w:r>
          </w:p>
        </w:tc>
        <w:tc>
          <w:tcPr>
            <w:tcW w:w="792" w:type="dxa"/>
            <w:vAlign w:val="center"/>
          </w:tcPr>
          <w:p w14:paraId="0B8A88C7" w14:textId="66C4F361" w:rsidR="00FF7003" w:rsidRPr="00A172CC" w:rsidRDefault="00771973" w:rsidP="00771973">
            <w:pPr>
              <w:jc w:val="center"/>
            </w:pPr>
            <w:r>
              <w:t>-</w:t>
            </w:r>
          </w:p>
        </w:tc>
        <w:tc>
          <w:tcPr>
            <w:tcW w:w="791" w:type="dxa"/>
            <w:vAlign w:val="center"/>
          </w:tcPr>
          <w:p w14:paraId="5CADE9CC" w14:textId="2CB9C20F" w:rsidR="00FF7003" w:rsidRPr="00A172CC" w:rsidRDefault="00771973" w:rsidP="00771973">
            <w:pPr>
              <w:jc w:val="center"/>
            </w:pPr>
            <w:r>
              <w:t>-</w:t>
            </w:r>
          </w:p>
        </w:tc>
        <w:tc>
          <w:tcPr>
            <w:tcW w:w="792" w:type="dxa"/>
            <w:vAlign w:val="center"/>
          </w:tcPr>
          <w:p w14:paraId="16EF1718" w14:textId="6D56808E" w:rsidR="00FF7003" w:rsidRPr="00A172CC" w:rsidRDefault="00771973" w:rsidP="00771973">
            <w:pPr>
              <w:jc w:val="center"/>
            </w:pPr>
            <w:r>
              <w:t>-</w:t>
            </w:r>
          </w:p>
        </w:tc>
        <w:tc>
          <w:tcPr>
            <w:tcW w:w="791" w:type="dxa"/>
            <w:vAlign w:val="center"/>
          </w:tcPr>
          <w:p w14:paraId="6D55C158" w14:textId="2A8EAFE3" w:rsidR="00FF7003" w:rsidRPr="00A172CC" w:rsidRDefault="00771973" w:rsidP="00771973">
            <w:pPr>
              <w:jc w:val="center"/>
            </w:pPr>
            <w:r>
              <w:t>-</w:t>
            </w:r>
          </w:p>
        </w:tc>
        <w:tc>
          <w:tcPr>
            <w:tcW w:w="792" w:type="dxa"/>
            <w:vAlign w:val="center"/>
          </w:tcPr>
          <w:p w14:paraId="0DE72DB4" w14:textId="3EFE6B4F" w:rsidR="00FF7003" w:rsidRPr="00A172CC" w:rsidRDefault="00771973" w:rsidP="00771973">
            <w:pPr>
              <w:jc w:val="center"/>
            </w:pPr>
            <w:r>
              <w:t>-</w:t>
            </w:r>
          </w:p>
        </w:tc>
      </w:tr>
      <w:tr w:rsidR="00FF7003" w:rsidRPr="00A172CC" w14:paraId="3E5BF67C" w14:textId="77777777" w:rsidTr="00FF7003">
        <w:trPr>
          <w:trHeight w:hRule="exact" w:val="537"/>
        </w:trPr>
        <w:tc>
          <w:tcPr>
            <w:tcW w:w="4208" w:type="dxa"/>
            <w:vAlign w:val="center"/>
          </w:tcPr>
          <w:p w14:paraId="08BAC637" w14:textId="4D4A0050" w:rsidR="00FF7003" w:rsidRPr="00A172CC" w:rsidRDefault="00FF7003" w:rsidP="00FF7003">
            <w:pPr>
              <w:rPr>
                <w:highlight w:val="yellow"/>
              </w:rPr>
            </w:pPr>
            <w:r w:rsidRPr="00A172CC">
              <w:t xml:space="preserve">Copyright, </w:t>
            </w:r>
            <w:proofErr w:type="gramStart"/>
            <w:r w:rsidRPr="00A172CC">
              <w:t>Trade Marks</w:t>
            </w:r>
            <w:proofErr w:type="gramEnd"/>
            <w:r w:rsidRPr="00A172CC">
              <w:t xml:space="preserve"> and Allied Rights</w:t>
            </w:r>
          </w:p>
        </w:tc>
        <w:tc>
          <w:tcPr>
            <w:tcW w:w="1001" w:type="dxa"/>
            <w:vAlign w:val="center"/>
          </w:tcPr>
          <w:p w14:paraId="0052F258" w14:textId="75F337FD" w:rsidR="00FF7003" w:rsidRPr="00A172CC" w:rsidRDefault="00913AC2" w:rsidP="00FF7003">
            <w:r>
              <w:t>22</w:t>
            </w:r>
          </w:p>
        </w:tc>
        <w:tc>
          <w:tcPr>
            <w:tcW w:w="791" w:type="dxa"/>
            <w:vAlign w:val="center"/>
          </w:tcPr>
          <w:p w14:paraId="0927BC97" w14:textId="77777777" w:rsidR="00FF7003" w:rsidRPr="00A172CC" w:rsidRDefault="00FF7003" w:rsidP="00FF7003"/>
        </w:tc>
        <w:tc>
          <w:tcPr>
            <w:tcW w:w="792" w:type="dxa"/>
            <w:vAlign w:val="center"/>
          </w:tcPr>
          <w:p w14:paraId="547A9D2F" w14:textId="5A0E1F10" w:rsidR="00FF7003" w:rsidRPr="00A172CC" w:rsidRDefault="00913AC2" w:rsidP="00FF7003">
            <w:r>
              <w:t>9</w:t>
            </w:r>
          </w:p>
        </w:tc>
        <w:tc>
          <w:tcPr>
            <w:tcW w:w="791" w:type="dxa"/>
            <w:vAlign w:val="center"/>
          </w:tcPr>
          <w:p w14:paraId="7EED025B" w14:textId="79CEA6A0" w:rsidR="00FF7003" w:rsidRPr="00A172CC" w:rsidRDefault="00913AC2" w:rsidP="00FF7003">
            <w:r>
              <w:t>9</w:t>
            </w:r>
          </w:p>
        </w:tc>
        <w:tc>
          <w:tcPr>
            <w:tcW w:w="792" w:type="dxa"/>
            <w:vAlign w:val="center"/>
          </w:tcPr>
          <w:p w14:paraId="65805C5C" w14:textId="5AF964A1" w:rsidR="00FF7003" w:rsidRPr="00A172CC" w:rsidRDefault="00913AC2" w:rsidP="00FF7003">
            <w:r>
              <w:t>18</w:t>
            </w:r>
          </w:p>
        </w:tc>
        <w:tc>
          <w:tcPr>
            <w:tcW w:w="791" w:type="dxa"/>
            <w:vAlign w:val="center"/>
          </w:tcPr>
          <w:p w14:paraId="086426A4" w14:textId="506961B2" w:rsidR="00FF7003" w:rsidRPr="00A172CC" w:rsidRDefault="00913AC2" w:rsidP="00FF7003">
            <w:r>
              <w:t>27</w:t>
            </w:r>
          </w:p>
        </w:tc>
        <w:tc>
          <w:tcPr>
            <w:tcW w:w="792" w:type="dxa"/>
            <w:vAlign w:val="center"/>
          </w:tcPr>
          <w:p w14:paraId="052B26AA" w14:textId="4840AEA5" w:rsidR="00FF7003" w:rsidRPr="00A172CC" w:rsidRDefault="00913AC2" w:rsidP="00FF7003">
            <w:r>
              <w:t>32</w:t>
            </w:r>
          </w:p>
        </w:tc>
        <w:tc>
          <w:tcPr>
            <w:tcW w:w="791" w:type="dxa"/>
            <w:vAlign w:val="center"/>
          </w:tcPr>
          <w:p w14:paraId="63770D5D" w14:textId="38427965" w:rsidR="00FF7003" w:rsidRPr="00A172CC" w:rsidRDefault="00FF7003" w:rsidP="00FF7003"/>
        </w:tc>
        <w:tc>
          <w:tcPr>
            <w:tcW w:w="792" w:type="dxa"/>
            <w:vAlign w:val="center"/>
          </w:tcPr>
          <w:p w14:paraId="69489F2B" w14:textId="77777777" w:rsidR="00FF7003" w:rsidRPr="00A172CC" w:rsidRDefault="00FF7003" w:rsidP="00FF7003"/>
        </w:tc>
        <w:tc>
          <w:tcPr>
            <w:tcW w:w="791" w:type="dxa"/>
            <w:vAlign w:val="center"/>
          </w:tcPr>
          <w:p w14:paraId="220F3487" w14:textId="2C06242C" w:rsidR="00FF7003" w:rsidRPr="00A172CC" w:rsidRDefault="00913AC2" w:rsidP="00FF7003">
            <w:r>
              <w:t>5</w:t>
            </w:r>
          </w:p>
        </w:tc>
        <w:tc>
          <w:tcPr>
            <w:tcW w:w="792" w:type="dxa"/>
            <w:vAlign w:val="center"/>
          </w:tcPr>
          <w:p w14:paraId="3C5ED4D8" w14:textId="77777777" w:rsidR="00FF7003" w:rsidRPr="00A172CC" w:rsidRDefault="00FF7003" w:rsidP="00FF7003"/>
        </w:tc>
        <w:tc>
          <w:tcPr>
            <w:tcW w:w="791" w:type="dxa"/>
            <w:vAlign w:val="center"/>
          </w:tcPr>
          <w:p w14:paraId="1D1825FB" w14:textId="77777777" w:rsidR="00FF7003" w:rsidRPr="00A172CC" w:rsidRDefault="00FF7003" w:rsidP="00FF7003"/>
        </w:tc>
        <w:tc>
          <w:tcPr>
            <w:tcW w:w="792" w:type="dxa"/>
            <w:vAlign w:val="center"/>
          </w:tcPr>
          <w:p w14:paraId="4275DAE9" w14:textId="77777777" w:rsidR="00FF7003" w:rsidRPr="00A172CC" w:rsidRDefault="00FF7003" w:rsidP="00FF7003"/>
        </w:tc>
      </w:tr>
      <w:tr w:rsidR="00FF7003" w:rsidRPr="00A172CC" w14:paraId="7D231A7C" w14:textId="77777777" w:rsidTr="00FF7003">
        <w:trPr>
          <w:trHeight w:hRule="exact" w:val="397"/>
        </w:trPr>
        <w:tc>
          <w:tcPr>
            <w:tcW w:w="4208" w:type="dxa"/>
            <w:vAlign w:val="center"/>
          </w:tcPr>
          <w:p w14:paraId="690BC4B7" w14:textId="77777777" w:rsidR="00FF7003" w:rsidRPr="00A172CC" w:rsidRDefault="00FF7003" w:rsidP="00FF7003">
            <w:pPr>
              <w:rPr>
                <w:highlight w:val="yellow"/>
              </w:rPr>
            </w:pPr>
            <w:r w:rsidRPr="00A172CC">
              <w:t>Criminal Law</w:t>
            </w:r>
          </w:p>
        </w:tc>
        <w:tc>
          <w:tcPr>
            <w:tcW w:w="1001" w:type="dxa"/>
            <w:vAlign w:val="center"/>
          </w:tcPr>
          <w:p w14:paraId="0386A03D" w14:textId="7478CBCE" w:rsidR="00FF7003" w:rsidRPr="00A172CC" w:rsidRDefault="00913AC2" w:rsidP="00FF7003">
            <w:r>
              <w:t>7</w:t>
            </w:r>
          </w:p>
        </w:tc>
        <w:tc>
          <w:tcPr>
            <w:tcW w:w="791" w:type="dxa"/>
            <w:vAlign w:val="center"/>
          </w:tcPr>
          <w:p w14:paraId="5EBDEC05" w14:textId="77777777" w:rsidR="00FF7003" w:rsidRPr="00A172CC" w:rsidRDefault="00FF7003" w:rsidP="00FF7003"/>
        </w:tc>
        <w:tc>
          <w:tcPr>
            <w:tcW w:w="792" w:type="dxa"/>
            <w:vAlign w:val="center"/>
          </w:tcPr>
          <w:p w14:paraId="37146DEF" w14:textId="77777777" w:rsidR="00FF7003" w:rsidRPr="00A172CC" w:rsidRDefault="00FF7003" w:rsidP="00FF7003"/>
        </w:tc>
        <w:tc>
          <w:tcPr>
            <w:tcW w:w="791" w:type="dxa"/>
            <w:vAlign w:val="center"/>
          </w:tcPr>
          <w:p w14:paraId="25CA35CE" w14:textId="324BBD3A" w:rsidR="00FF7003" w:rsidRPr="00A172CC" w:rsidRDefault="00913AC2" w:rsidP="00FF7003">
            <w:r>
              <w:t>43</w:t>
            </w:r>
          </w:p>
        </w:tc>
        <w:tc>
          <w:tcPr>
            <w:tcW w:w="792" w:type="dxa"/>
            <w:vAlign w:val="center"/>
          </w:tcPr>
          <w:p w14:paraId="597EDA5B" w14:textId="58D12258" w:rsidR="00FF7003" w:rsidRPr="00A172CC" w:rsidRDefault="00913AC2" w:rsidP="00FF7003">
            <w:r>
              <w:t>28.5</w:t>
            </w:r>
          </w:p>
        </w:tc>
        <w:tc>
          <w:tcPr>
            <w:tcW w:w="791" w:type="dxa"/>
            <w:vAlign w:val="center"/>
          </w:tcPr>
          <w:p w14:paraId="728BA993" w14:textId="01D89F6C" w:rsidR="00FF7003" w:rsidRPr="00A172CC" w:rsidRDefault="00913AC2" w:rsidP="00FF7003">
            <w:r>
              <w:t>28.5</w:t>
            </w:r>
          </w:p>
        </w:tc>
        <w:tc>
          <w:tcPr>
            <w:tcW w:w="792" w:type="dxa"/>
            <w:vAlign w:val="center"/>
          </w:tcPr>
          <w:p w14:paraId="72F56868" w14:textId="66CF63EB" w:rsidR="00FF7003" w:rsidRPr="00A172CC" w:rsidRDefault="00FF7003" w:rsidP="00FF7003"/>
        </w:tc>
        <w:tc>
          <w:tcPr>
            <w:tcW w:w="791" w:type="dxa"/>
            <w:vAlign w:val="center"/>
          </w:tcPr>
          <w:p w14:paraId="4BB34F4C" w14:textId="7AAD5629" w:rsidR="00FF7003" w:rsidRPr="00A172CC" w:rsidRDefault="00FF7003" w:rsidP="00FF7003"/>
        </w:tc>
        <w:tc>
          <w:tcPr>
            <w:tcW w:w="792" w:type="dxa"/>
            <w:vAlign w:val="center"/>
          </w:tcPr>
          <w:p w14:paraId="38F5F7A4" w14:textId="77777777" w:rsidR="00FF7003" w:rsidRPr="00A172CC" w:rsidRDefault="00FF7003" w:rsidP="00FF7003"/>
        </w:tc>
        <w:tc>
          <w:tcPr>
            <w:tcW w:w="791" w:type="dxa"/>
            <w:vAlign w:val="center"/>
          </w:tcPr>
          <w:p w14:paraId="4F2A3109" w14:textId="77777777" w:rsidR="00FF7003" w:rsidRPr="00A172CC" w:rsidRDefault="00FF7003" w:rsidP="00FF7003"/>
        </w:tc>
        <w:tc>
          <w:tcPr>
            <w:tcW w:w="792" w:type="dxa"/>
            <w:vAlign w:val="center"/>
          </w:tcPr>
          <w:p w14:paraId="20A7F3AC" w14:textId="77777777" w:rsidR="00FF7003" w:rsidRPr="00A172CC" w:rsidRDefault="00FF7003" w:rsidP="00FF7003"/>
        </w:tc>
        <w:tc>
          <w:tcPr>
            <w:tcW w:w="791" w:type="dxa"/>
            <w:vAlign w:val="center"/>
          </w:tcPr>
          <w:p w14:paraId="663BD94F" w14:textId="77777777" w:rsidR="00FF7003" w:rsidRPr="00A172CC" w:rsidRDefault="00FF7003" w:rsidP="00FF7003"/>
        </w:tc>
        <w:tc>
          <w:tcPr>
            <w:tcW w:w="792" w:type="dxa"/>
            <w:vAlign w:val="center"/>
          </w:tcPr>
          <w:p w14:paraId="210CA503" w14:textId="77777777" w:rsidR="00FF7003" w:rsidRPr="00A172CC" w:rsidRDefault="00FF7003" w:rsidP="00FF7003"/>
        </w:tc>
      </w:tr>
      <w:tr w:rsidR="00FF7003" w:rsidRPr="00A172CC" w14:paraId="780EA478" w14:textId="77777777" w:rsidTr="00FF7003">
        <w:trPr>
          <w:trHeight w:hRule="exact" w:val="397"/>
        </w:trPr>
        <w:tc>
          <w:tcPr>
            <w:tcW w:w="4208" w:type="dxa"/>
            <w:vAlign w:val="center"/>
          </w:tcPr>
          <w:p w14:paraId="46BC024E" w14:textId="77777777" w:rsidR="00FF7003" w:rsidRPr="00A172CC" w:rsidRDefault="00FF7003" w:rsidP="00FF7003">
            <w:pPr>
              <w:rPr>
                <w:highlight w:val="yellow"/>
              </w:rPr>
            </w:pPr>
            <w:r w:rsidRPr="00A172CC">
              <w:t xml:space="preserve">Criminology &amp; Criminal Justice </w:t>
            </w:r>
          </w:p>
        </w:tc>
        <w:tc>
          <w:tcPr>
            <w:tcW w:w="1001" w:type="dxa"/>
            <w:vAlign w:val="center"/>
          </w:tcPr>
          <w:p w14:paraId="35B13C89" w14:textId="0F121C52" w:rsidR="00FF7003" w:rsidRPr="00A172CC" w:rsidRDefault="00386969" w:rsidP="00FF7003">
            <w:r>
              <w:t>18</w:t>
            </w:r>
          </w:p>
        </w:tc>
        <w:tc>
          <w:tcPr>
            <w:tcW w:w="791" w:type="dxa"/>
            <w:vAlign w:val="center"/>
          </w:tcPr>
          <w:p w14:paraId="6B6C1135" w14:textId="77777777" w:rsidR="00FF7003" w:rsidRPr="00A172CC" w:rsidRDefault="00FF7003" w:rsidP="00FF7003"/>
        </w:tc>
        <w:tc>
          <w:tcPr>
            <w:tcW w:w="792" w:type="dxa"/>
            <w:vAlign w:val="center"/>
          </w:tcPr>
          <w:p w14:paraId="2BDD1C5C" w14:textId="20CE4649" w:rsidR="00FF7003" w:rsidRPr="00A172CC" w:rsidRDefault="00386969" w:rsidP="00FF7003">
            <w:r>
              <w:t>17</w:t>
            </w:r>
          </w:p>
        </w:tc>
        <w:tc>
          <w:tcPr>
            <w:tcW w:w="791" w:type="dxa"/>
            <w:vAlign w:val="center"/>
          </w:tcPr>
          <w:p w14:paraId="5C95C3DF" w14:textId="54102DEC" w:rsidR="00FF7003" w:rsidRPr="00A172CC" w:rsidRDefault="00386969" w:rsidP="00FF7003">
            <w:r>
              <w:t>17</w:t>
            </w:r>
          </w:p>
        </w:tc>
        <w:tc>
          <w:tcPr>
            <w:tcW w:w="792" w:type="dxa"/>
            <w:vAlign w:val="center"/>
          </w:tcPr>
          <w:p w14:paraId="788822AB" w14:textId="46346089" w:rsidR="00FF7003" w:rsidRPr="00A172CC" w:rsidRDefault="00386969" w:rsidP="00FF7003">
            <w:r>
              <w:t>17</w:t>
            </w:r>
          </w:p>
        </w:tc>
        <w:tc>
          <w:tcPr>
            <w:tcW w:w="791" w:type="dxa"/>
            <w:vAlign w:val="center"/>
          </w:tcPr>
          <w:p w14:paraId="19A6E01A" w14:textId="26EC7D7E" w:rsidR="00FF7003" w:rsidRPr="00A172CC" w:rsidRDefault="00386969" w:rsidP="00FF7003">
            <w:r>
              <w:t>22</w:t>
            </w:r>
          </w:p>
        </w:tc>
        <w:tc>
          <w:tcPr>
            <w:tcW w:w="792" w:type="dxa"/>
            <w:vAlign w:val="center"/>
          </w:tcPr>
          <w:p w14:paraId="31F0012A" w14:textId="431090BF" w:rsidR="00FF7003" w:rsidRPr="00A172CC" w:rsidRDefault="00386969" w:rsidP="00FF7003">
            <w:r>
              <w:t>27</w:t>
            </w:r>
          </w:p>
        </w:tc>
        <w:tc>
          <w:tcPr>
            <w:tcW w:w="791" w:type="dxa"/>
            <w:vAlign w:val="center"/>
          </w:tcPr>
          <w:p w14:paraId="5F69792E" w14:textId="77777777" w:rsidR="00FF7003" w:rsidRPr="00A172CC" w:rsidRDefault="00FF7003" w:rsidP="00FF7003"/>
        </w:tc>
        <w:tc>
          <w:tcPr>
            <w:tcW w:w="792" w:type="dxa"/>
            <w:vAlign w:val="center"/>
          </w:tcPr>
          <w:p w14:paraId="6C5ABA24" w14:textId="77777777" w:rsidR="00FF7003" w:rsidRPr="00A172CC" w:rsidRDefault="00FF7003" w:rsidP="00FF7003"/>
        </w:tc>
        <w:tc>
          <w:tcPr>
            <w:tcW w:w="791" w:type="dxa"/>
            <w:vAlign w:val="center"/>
          </w:tcPr>
          <w:p w14:paraId="6FA3EE83" w14:textId="77777777" w:rsidR="00FF7003" w:rsidRPr="00A172CC" w:rsidRDefault="00FF7003" w:rsidP="00FF7003"/>
        </w:tc>
        <w:tc>
          <w:tcPr>
            <w:tcW w:w="792" w:type="dxa"/>
            <w:vAlign w:val="center"/>
          </w:tcPr>
          <w:p w14:paraId="7F02061B" w14:textId="77777777" w:rsidR="00FF7003" w:rsidRPr="00A172CC" w:rsidRDefault="00FF7003" w:rsidP="00FF7003"/>
        </w:tc>
        <w:tc>
          <w:tcPr>
            <w:tcW w:w="791" w:type="dxa"/>
            <w:vAlign w:val="center"/>
          </w:tcPr>
          <w:p w14:paraId="0BB13704" w14:textId="77777777" w:rsidR="00FF7003" w:rsidRPr="00A172CC" w:rsidRDefault="00FF7003" w:rsidP="00FF7003"/>
        </w:tc>
        <w:tc>
          <w:tcPr>
            <w:tcW w:w="792" w:type="dxa"/>
            <w:vAlign w:val="center"/>
          </w:tcPr>
          <w:p w14:paraId="28985C03" w14:textId="77777777" w:rsidR="00FF7003" w:rsidRPr="00A172CC" w:rsidRDefault="00FF7003" w:rsidP="00FF7003"/>
        </w:tc>
      </w:tr>
      <w:tr w:rsidR="00FF7003" w:rsidRPr="00A172CC" w14:paraId="1D80817F" w14:textId="77777777" w:rsidTr="00FF7003">
        <w:trPr>
          <w:trHeight w:hRule="exact" w:val="397"/>
        </w:trPr>
        <w:tc>
          <w:tcPr>
            <w:tcW w:w="4208" w:type="dxa"/>
            <w:vAlign w:val="center"/>
          </w:tcPr>
          <w:p w14:paraId="64C89770" w14:textId="77777777" w:rsidR="00FF7003" w:rsidRPr="00A172CC" w:rsidRDefault="00FF7003" w:rsidP="00FF7003">
            <w:pPr>
              <w:rPr>
                <w:highlight w:val="yellow"/>
              </w:rPr>
            </w:pPr>
            <w:r w:rsidRPr="00A172CC">
              <w:t>Environmental Law</w:t>
            </w:r>
          </w:p>
        </w:tc>
        <w:tc>
          <w:tcPr>
            <w:tcW w:w="1001" w:type="dxa"/>
            <w:vAlign w:val="center"/>
          </w:tcPr>
          <w:p w14:paraId="7E6689A9" w14:textId="1765C256" w:rsidR="00FF7003" w:rsidRPr="00A172CC" w:rsidRDefault="00930D83" w:rsidP="00FF7003">
            <w:r>
              <w:t>13</w:t>
            </w:r>
          </w:p>
        </w:tc>
        <w:tc>
          <w:tcPr>
            <w:tcW w:w="791" w:type="dxa"/>
            <w:vAlign w:val="center"/>
          </w:tcPr>
          <w:p w14:paraId="3EBC20C4" w14:textId="77777777" w:rsidR="00FF7003" w:rsidRPr="00A172CC" w:rsidRDefault="00FF7003" w:rsidP="00FF7003"/>
        </w:tc>
        <w:tc>
          <w:tcPr>
            <w:tcW w:w="792" w:type="dxa"/>
            <w:vAlign w:val="center"/>
          </w:tcPr>
          <w:p w14:paraId="5241C928" w14:textId="2ED535EC" w:rsidR="00FF7003" w:rsidRPr="00A172CC" w:rsidRDefault="00930D83" w:rsidP="00FF7003">
            <w:r>
              <w:t>15</w:t>
            </w:r>
          </w:p>
        </w:tc>
        <w:tc>
          <w:tcPr>
            <w:tcW w:w="791" w:type="dxa"/>
            <w:vAlign w:val="center"/>
          </w:tcPr>
          <w:p w14:paraId="40CEE816" w14:textId="38432A5B" w:rsidR="00FF7003" w:rsidRPr="00A172CC" w:rsidRDefault="00930D83" w:rsidP="00FF7003">
            <w:r>
              <w:t>15</w:t>
            </w:r>
          </w:p>
        </w:tc>
        <w:tc>
          <w:tcPr>
            <w:tcW w:w="792" w:type="dxa"/>
            <w:vAlign w:val="center"/>
          </w:tcPr>
          <w:p w14:paraId="5CAA64B0" w14:textId="15493DF4" w:rsidR="00FF7003" w:rsidRPr="00A172CC" w:rsidRDefault="00930D83" w:rsidP="00FF7003">
            <w:r>
              <w:t>8</w:t>
            </w:r>
          </w:p>
        </w:tc>
        <w:tc>
          <w:tcPr>
            <w:tcW w:w="791" w:type="dxa"/>
            <w:vAlign w:val="center"/>
          </w:tcPr>
          <w:p w14:paraId="0FE5A5D5" w14:textId="18622085" w:rsidR="00FF7003" w:rsidRPr="00A172CC" w:rsidRDefault="00930D83" w:rsidP="00FF7003">
            <w:r>
              <w:t>47</w:t>
            </w:r>
          </w:p>
        </w:tc>
        <w:tc>
          <w:tcPr>
            <w:tcW w:w="792" w:type="dxa"/>
            <w:vAlign w:val="center"/>
          </w:tcPr>
          <w:p w14:paraId="78179373" w14:textId="766C37B6" w:rsidR="00FF7003" w:rsidRPr="00A172CC" w:rsidRDefault="00930D83" w:rsidP="00FF7003">
            <w:r>
              <w:t>15</w:t>
            </w:r>
          </w:p>
        </w:tc>
        <w:tc>
          <w:tcPr>
            <w:tcW w:w="791" w:type="dxa"/>
            <w:vAlign w:val="center"/>
          </w:tcPr>
          <w:p w14:paraId="3B809006" w14:textId="7DCE80FF" w:rsidR="00FF7003" w:rsidRPr="00A172CC" w:rsidRDefault="00FF7003" w:rsidP="00FF7003"/>
        </w:tc>
        <w:tc>
          <w:tcPr>
            <w:tcW w:w="792" w:type="dxa"/>
            <w:vAlign w:val="center"/>
          </w:tcPr>
          <w:p w14:paraId="4E2209B9" w14:textId="77777777" w:rsidR="00FF7003" w:rsidRPr="00A172CC" w:rsidRDefault="00FF7003" w:rsidP="00FF7003"/>
        </w:tc>
        <w:tc>
          <w:tcPr>
            <w:tcW w:w="791" w:type="dxa"/>
            <w:vAlign w:val="center"/>
          </w:tcPr>
          <w:p w14:paraId="0ADBEC5B" w14:textId="77777777" w:rsidR="00FF7003" w:rsidRPr="00A172CC" w:rsidRDefault="00FF7003" w:rsidP="00FF7003"/>
        </w:tc>
        <w:tc>
          <w:tcPr>
            <w:tcW w:w="792" w:type="dxa"/>
            <w:vAlign w:val="center"/>
          </w:tcPr>
          <w:p w14:paraId="320712FC" w14:textId="77777777" w:rsidR="00FF7003" w:rsidRPr="00A172CC" w:rsidRDefault="00FF7003" w:rsidP="00FF7003"/>
        </w:tc>
        <w:tc>
          <w:tcPr>
            <w:tcW w:w="791" w:type="dxa"/>
            <w:vAlign w:val="center"/>
          </w:tcPr>
          <w:p w14:paraId="547022AA" w14:textId="77777777" w:rsidR="00FF7003" w:rsidRPr="00A172CC" w:rsidRDefault="00FF7003" w:rsidP="00FF7003"/>
        </w:tc>
        <w:tc>
          <w:tcPr>
            <w:tcW w:w="792" w:type="dxa"/>
            <w:vAlign w:val="center"/>
          </w:tcPr>
          <w:p w14:paraId="6CEEBAC8" w14:textId="77777777" w:rsidR="00FF7003" w:rsidRPr="00A172CC" w:rsidRDefault="00FF7003" w:rsidP="00FF7003"/>
        </w:tc>
      </w:tr>
      <w:tr w:rsidR="00FF7003" w:rsidRPr="00A172CC" w14:paraId="597DB70A" w14:textId="77777777" w:rsidTr="00FF7003">
        <w:trPr>
          <w:trHeight w:hRule="exact" w:val="397"/>
        </w:trPr>
        <w:tc>
          <w:tcPr>
            <w:tcW w:w="4208" w:type="dxa"/>
            <w:vAlign w:val="center"/>
          </w:tcPr>
          <w:p w14:paraId="65F49BE8" w14:textId="77777777" w:rsidR="00FF7003" w:rsidRPr="00A172CC" w:rsidRDefault="00FF7003" w:rsidP="00FF7003">
            <w:pPr>
              <w:rPr>
                <w:highlight w:val="yellow"/>
              </w:rPr>
            </w:pPr>
            <w:r w:rsidRPr="00A172CC">
              <w:lastRenderedPageBreak/>
              <w:t>Family Law</w:t>
            </w:r>
          </w:p>
        </w:tc>
        <w:tc>
          <w:tcPr>
            <w:tcW w:w="1001" w:type="dxa"/>
            <w:vAlign w:val="center"/>
          </w:tcPr>
          <w:p w14:paraId="740E0B04" w14:textId="2D73559B" w:rsidR="00FF7003" w:rsidRPr="00A172CC" w:rsidRDefault="00120FD0" w:rsidP="00FF7003">
            <w:r>
              <w:t>41</w:t>
            </w:r>
          </w:p>
        </w:tc>
        <w:tc>
          <w:tcPr>
            <w:tcW w:w="791" w:type="dxa"/>
            <w:vAlign w:val="center"/>
          </w:tcPr>
          <w:p w14:paraId="59C97C55" w14:textId="2DA4A43B" w:rsidR="00FF7003" w:rsidRPr="00A172CC" w:rsidRDefault="00120FD0" w:rsidP="00FF7003">
            <w:r>
              <w:t>2</w:t>
            </w:r>
          </w:p>
        </w:tc>
        <w:tc>
          <w:tcPr>
            <w:tcW w:w="792" w:type="dxa"/>
            <w:vAlign w:val="center"/>
          </w:tcPr>
          <w:p w14:paraId="21B3A7AA" w14:textId="245C440F" w:rsidR="00FF7003" w:rsidRPr="00A172CC" w:rsidRDefault="00120FD0" w:rsidP="00FF7003">
            <w:r>
              <w:t>10</w:t>
            </w:r>
          </w:p>
        </w:tc>
        <w:tc>
          <w:tcPr>
            <w:tcW w:w="791" w:type="dxa"/>
            <w:vAlign w:val="center"/>
          </w:tcPr>
          <w:p w14:paraId="0433F5FC" w14:textId="194CB304" w:rsidR="00FF7003" w:rsidRPr="00A172CC" w:rsidRDefault="00120FD0" w:rsidP="00FF7003">
            <w:r>
              <w:t>17</w:t>
            </w:r>
          </w:p>
        </w:tc>
        <w:tc>
          <w:tcPr>
            <w:tcW w:w="792" w:type="dxa"/>
            <w:vAlign w:val="center"/>
          </w:tcPr>
          <w:p w14:paraId="58707420" w14:textId="1B4D0959" w:rsidR="00FF7003" w:rsidRPr="00A172CC" w:rsidRDefault="00120FD0" w:rsidP="00FF7003">
            <w:r>
              <w:t>15</w:t>
            </w:r>
          </w:p>
        </w:tc>
        <w:tc>
          <w:tcPr>
            <w:tcW w:w="791" w:type="dxa"/>
            <w:vAlign w:val="center"/>
          </w:tcPr>
          <w:p w14:paraId="6D23D693" w14:textId="59F78B3F" w:rsidR="00FF7003" w:rsidRPr="00A172CC" w:rsidRDefault="00120FD0" w:rsidP="00FF7003">
            <w:r>
              <w:t>34</w:t>
            </w:r>
          </w:p>
        </w:tc>
        <w:tc>
          <w:tcPr>
            <w:tcW w:w="792" w:type="dxa"/>
            <w:vAlign w:val="center"/>
          </w:tcPr>
          <w:p w14:paraId="12EBB546" w14:textId="355BD483" w:rsidR="00FF7003" w:rsidRPr="00A172CC" w:rsidRDefault="00120FD0" w:rsidP="00FF7003">
            <w:r>
              <w:t>17</w:t>
            </w:r>
          </w:p>
        </w:tc>
        <w:tc>
          <w:tcPr>
            <w:tcW w:w="791" w:type="dxa"/>
            <w:vAlign w:val="center"/>
          </w:tcPr>
          <w:p w14:paraId="7795F93F" w14:textId="0A0B1775" w:rsidR="00FF7003" w:rsidRPr="00A172CC" w:rsidRDefault="00FF7003" w:rsidP="00FF7003"/>
        </w:tc>
        <w:tc>
          <w:tcPr>
            <w:tcW w:w="792" w:type="dxa"/>
            <w:vAlign w:val="center"/>
          </w:tcPr>
          <w:p w14:paraId="4F87D647" w14:textId="77777777" w:rsidR="00FF7003" w:rsidRPr="00A172CC" w:rsidRDefault="00FF7003" w:rsidP="00FF7003"/>
        </w:tc>
        <w:tc>
          <w:tcPr>
            <w:tcW w:w="791" w:type="dxa"/>
            <w:vAlign w:val="center"/>
          </w:tcPr>
          <w:p w14:paraId="29344D51" w14:textId="22202F49" w:rsidR="00FF7003" w:rsidRPr="00A172CC" w:rsidRDefault="00120FD0" w:rsidP="00FF7003">
            <w:r>
              <w:t>5</w:t>
            </w:r>
          </w:p>
        </w:tc>
        <w:tc>
          <w:tcPr>
            <w:tcW w:w="792" w:type="dxa"/>
            <w:vAlign w:val="center"/>
          </w:tcPr>
          <w:p w14:paraId="5686E900" w14:textId="77777777" w:rsidR="00FF7003" w:rsidRPr="00A172CC" w:rsidRDefault="00FF7003" w:rsidP="00FF7003"/>
        </w:tc>
        <w:tc>
          <w:tcPr>
            <w:tcW w:w="791" w:type="dxa"/>
            <w:vAlign w:val="center"/>
          </w:tcPr>
          <w:p w14:paraId="10A59745" w14:textId="77777777" w:rsidR="00FF7003" w:rsidRPr="00A172CC" w:rsidRDefault="00FF7003" w:rsidP="00FF7003"/>
        </w:tc>
        <w:tc>
          <w:tcPr>
            <w:tcW w:w="792" w:type="dxa"/>
            <w:vAlign w:val="center"/>
          </w:tcPr>
          <w:p w14:paraId="3BA8E59E" w14:textId="77777777" w:rsidR="00FF7003" w:rsidRPr="00A172CC" w:rsidRDefault="00FF7003" w:rsidP="00FF7003"/>
        </w:tc>
      </w:tr>
      <w:tr w:rsidR="00FF7003" w:rsidRPr="00A172CC" w14:paraId="3DDE3797" w14:textId="77777777" w:rsidTr="00FF7003">
        <w:trPr>
          <w:trHeight w:hRule="exact" w:val="397"/>
        </w:trPr>
        <w:tc>
          <w:tcPr>
            <w:tcW w:w="4208" w:type="dxa"/>
            <w:vAlign w:val="center"/>
          </w:tcPr>
          <w:p w14:paraId="46E3CFE7" w14:textId="77777777" w:rsidR="00FF7003" w:rsidRPr="00A172CC" w:rsidRDefault="00FF7003" w:rsidP="00FF7003">
            <w:pPr>
              <w:rPr>
                <w:highlight w:val="yellow"/>
              </w:rPr>
            </w:pPr>
            <w:r w:rsidRPr="00A172CC">
              <w:t>History of English Law</w:t>
            </w:r>
          </w:p>
        </w:tc>
        <w:tc>
          <w:tcPr>
            <w:tcW w:w="1001" w:type="dxa"/>
            <w:vAlign w:val="center"/>
          </w:tcPr>
          <w:p w14:paraId="2CAB9F85" w14:textId="77F9C8DE" w:rsidR="00FF7003" w:rsidRPr="00A172CC" w:rsidRDefault="00AB518D" w:rsidP="00FF7003">
            <w:r>
              <w:t>3</w:t>
            </w:r>
          </w:p>
        </w:tc>
        <w:tc>
          <w:tcPr>
            <w:tcW w:w="791" w:type="dxa"/>
            <w:vAlign w:val="center"/>
          </w:tcPr>
          <w:p w14:paraId="4F13798C" w14:textId="77777777" w:rsidR="00FF7003" w:rsidRPr="00A172CC" w:rsidRDefault="00FF7003" w:rsidP="00FF7003"/>
        </w:tc>
        <w:tc>
          <w:tcPr>
            <w:tcW w:w="792" w:type="dxa"/>
            <w:vAlign w:val="center"/>
          </w:tcPr>
          <w:p w14:paraId="392ACD98" w14:textId="19465F2E" w:rsidR="00FF7003" w:rsidRPr="00A172CC" w:rsidRDefault="00AB518D" w:rsidP="00FF7003">
            <w:r>
              <w:t>33.3</w:t>
            </w:r>
          </w:p>
        </w:tc>
        <w:tc>
          <w:tcPr>
            <w:tcW w:w="791" w:type="dxa"/>
            <w:vAlign w:val="center"/>
          </w:tcPr>
          <w:p w14:paraId="3A1E22FA" w14:textId="6D3F3C0E" w:rsidR="00FF7003" w:rsidRPr="00A172CC" w:rsidRDefault="00AB518D" w:rsidP="00FF7003">
            <w:r>
              <w:t>33.3</w:t>
            </w:r>
          </w:p>
        </w:tc>
        <w:tc>
          <w:tcPr>
            <w:tcW w:w="792" w:type="dxa"/>
            <w:vAlign w:val="center"/>
          </w:tcPr>
          <w:p w14:paraId="313093BC" w14:textId="58E0A40D" w:rsidR="00FF7003" w:rsidRPr="00A172CC" w:rsidRDefault="00AB518D" w:rsidP="00FF7003">
            <w:r>
              <w:t>33.3</w:t>
            </w:r>
          </w:p>
        </w:tc>
        <w:tc>
          <w:tcPr>
            <w:tcW w:w="791" w:type="dxa"/>
            <w:vAlign w:val="center"/>
          </w:tcPr>
          <w:p w14:paraId="2FA04EA4" w14:textId="77777777" w:rsidR="00FF7003" w:rsidRPr="00A172CC" w:rsidRDefault="00FF7003" w:rsidP="00FF7003"/>
        </w:tc>
        <w:tc>
          <w:tcPr>
            <w:tcW w:w="792" w:type="dxa"/>
            <w:vAlign w:val="center"/>
          </w:tcPr>
          <w:p w14:paraId="33F5BE06" w14:textId="05CDD0FD" w:rsidR="00FF7003" w:rsidRPr="00A172CC" w:rsidRDefault="00FF7003" w:rsidP="00FF7003"/>
        </w:tc>
        <w:tc>
          <w:tcPr>
            <w:tcW w:w="791" w:type="dxa"/>
            <w:vAlign w:val="center"/>
          </w:tcPr>
          <w:p w14:paraId="7587BADA" w14:textId="77777777" w:rsidR="00FF7003" w:rsidRPr="00A172CC" w:rsidRDefault="00FF7003" w:rsidP="00FF7003"/>
        </w:tc>
        <w:tc>
          <w:tcPr>
            <w:tcW w:w="792" w:type="dxa"/>
            <w:vAlign w:val="center"/>
          </w:tcPr>
          <w:p w14:paraId="731832C1" w14:textId="77777777" w:rsidR="00FF7003" w:rsidRPr="00A172CC" w:rsidRDefault="00FF7003" w:rsidP="00FF7003"/>
        </w:tc>
        <w:tc>
          <w:tcPr>
            <w:tcW w:w="791" w:type="dxa"/>
            <w:vAlign w:val="center"/>
          </w:tcPr>
          <w:p w14:paraId="0260162B" w14:textId="77777777" w:rsidR="00FF7003" w:rsidRPr="00A172CC" w:rsidRDefault="00FF7003" w:rsidP="00FF7003"/>
        </w:tc>
        <w:tc>
          <w:tcPr>
            <w:tcW w:w="792" w:type="dxa"/>
            <w:vAlign w:val="center"/>
          </w:tcPr>
          <w:p w14:paraId="3B3F336F" w14:textId="77777777" w:rsidR="00FF7003" w:rsidRPr="00A172CC" w:rsidRDefault="00FF7003" w:rsidP="00FF7003"/>
        </w:tc>
        <w:tc>
          <w:tcPr>
            <w:tcW w:w="791" w:type="dxa"/>
            <w:vAlign w:val="center"/>
          </w:tcPr>
          <w:p w14:paraId="02A4EB91" w14:textId="77777777" w:rsidR="00FF7003" w:rsidRPr="00A172CC" w:rsidRDefault="00FF7003" w:rsidP="00FF7003"/>
        </w:tc>
        <w:tc>
          <w:tcPr>
            <w:tcW w:w="792" w:type="dxa"/>
            <w:vAlign w:val="center"/>
          </w:tcPr>
          <w:p w14:paraId="0BEDD3AC" w14:textId="77777777" w:rsidR="00FF7003" w:rsidRPr="00A172CC" w:rsidRDefault="00FF7003" w:rsidP="00FF7003"/>
        </w:tc>
      </w:tr>
      <w:tr w:rsidR="00FF7003" w:rsidRPr="00A172CC" w14:paraId="011C4B3B" w14:textId="77777777" w:rsidTr="00FF7003">
        <w:trPr>
          <w:trHeight w:hRule="exact" w:val="397"/>
        </w:trPr>
        <w:tc>
          <w:tcPr>
            <w:tcW w:w="4208" w:type="dxa"/>
            <w:vAlign w:val="center"/>
          </w:tcPr>
          <w:p w14:paraId="11077EFB" w14:textId="77777777" w:rsidR="00FF7003" w:rsidRPr="00A172CC" w:rsidRDefault="00FF7003" w:rsidP="00FF7003">
            <w:pPr>
              <w:rPr>
                <w:highlight w:val="yellow"/>
              </w:rPr>
            </w:pPr>
            <w:r w:rsidRPr="00A172CC">
              <w:t>Human Rights Law</w:t>
            </w:r>
          </w:p>
        </w:tc>
        <w:tc>
          <w:tcPr>
            <w:tcW w:w="1001" w:type="dxa"/>
            <w:vAlign w:val="center"/>
          </w:tcPr>
          <w:p w14:paraId="679F1349" w14:textId="6ECFB08D" w:rsidR="00FF7003" w:rsidRPr="00A172CC" w:rsidRDefault="004902FD" w:rsidP="00FF7003">
            <w:r>
              <w:t>20</w:t>
            </w:r>
          </w:p>
        </w:tc>
        <w:tc>
          <w:tcPr>
            <w:tcW w:w="791" w:type="dxa"/>
            <w:vAlign w:val="center"/>
          </w:tcPr>
          <w:p w14:paraId="5CB3C8E2" w14:textId="77777777" w:rsidR="00FF7003" w:rsidRPr="00A172CC" w:rsidRDefault="00FF7003" w:rsidP="00FF7003"/>
        </w:tc>
        <w:tc>
          <w:tcPr>
            <w:tcW w:w="792" w:type="dxa"/>
            <w:vAlign w:val="center"/>
          </w:tcPr>
          <w:p w14:paraId="782E7F7B" w14:textId="7547E67E" w:rsidR="00FF7003" w:rsidRPr="00A172CC" w:rsidRDefault="004902FD" w:rsidP="00FF7003">
            <w:r>
              <w:t>10</w:t>
            </w:r>
          </w:p>
        </w:tc>
        <w:tc>
          <w:tcPr>
            <w:tcW w:w="791" w:type="dxa"/>
            <w:vAlign w:val="center"/>
          </w:tcPr>
          <w:p w14:paraId="2ADD9BC7" w14:textId="07F5B874" w:rsidR="00FF7003" w:rsidRPr="00A172CC" w:rsidRDefault="004902FD" w:rsidP="00FF7003">
            <w:r>
              <w:t>20</w:t>
            </w:r>
          </w:p>
        </w:tc>
        <w:tc>
          <w:tcPr>
            <w:tcW w:w="792" w:type="dxa"/>
            <w:vAlign w:val="center"/>
          </w:tcPr>
          <w:p w14:paraId="12ADF225" w14:textId="52746B96" w:rsidR="00FF7003" w:rsidRPr="00A172CC" w:rsidRDefault="004902FD" w:rsidP="00FF7003">
            <w:r>
              <w:t>30</w:t>
            </w:r>
          </w:p>
        </w:tc>
        <w:tc>
          <w:tcPr>
            <w:tcW w:w="791" w:type="dxa"/>
            <w:vAlign w:val="center"/>
          </w:tcPr>
          <w:p w14:paraId="362F288B" w14:textId="440C23BA" w:rsidR="00FF7003" w:rsidRPr="00A172CC" w:rsidRDefault="004902FD" w:rsidP="00FF7003">
            <w:r>
              <w:t>25</w:t>
            </w:r>
          </w:p>
        </w:tc>
        <w:tc>
          <w:tcPr>
            <w:tcW w:w="792" w:type="dxa"/>
            <w:vAlign w:val="center"/>
          </w:tcPr>
          <w:p w14:paraId="4A3331B0" w14:textId="7BCF17D0" w:rsidR="00FF7003" w:rsidRPr="00A172CC" w:rsidRDefault="004902FD" w:rsidP="00FF7003">
            <w:r>
              <w:t>15</w:t>
            </w:r>
          </w:p>
        </w:tc>
        <w:tc>
          <w:tcPr>
            <w:tcW w:w="791" w:type="dxa"/>
            <w:vAlign w:val="center"/>
          </w:tcPr>
          <w:p w14:paraId="29061AEF" w14:textId="77777777" w:rsidR="00FF7003" w:rsidRPr="00A172CC" w:rsidRDefault="00FF7003" w:rsidP="00FF7003"/>
        </w:tc>
        <w:tc>
          <w:tcPr>
            <w:tcW w:w="792" w:type="dxa"/>
            <w:vAlign w:val="center"/>
          </w:tcPr>
          <w:p w14:paraId="6A440F2D" w14:textId="77777777" w:rsidR="00FF7003" w:rsidRPr="00A172CC" w:rsidRDefault="00FF7003" w:rsidP="00FF7003"/>
        </w:tc>
        <w:tc>
          <w:tcPr>
            <w:tcW w:w="791" w:type="dxa"/>
            <w:vAlign w:val="center"/>
          </w:tcPr>
          <w:p w14:paraId="50070EB5" w14:textId="77777777" w:rsidR="00FF7003" w:rsidRPr="00A172CC" w:rsidRDefault="00FF7003" w:rsidP="00FF7003"/>
        </w:tc>
        <w:tc>
          <w:tcPr>
            <w:tcW w:w="792" w:type="dxa"/>
            <w:vAlign w:val="center"/>
          </w:tcPr>
          <w:p w14:paraId="39CC1C08" w14:textId="77777777" w:rsidR="00FF7003" w:rsidRPr="00A172CC" w:rsidRDefault="00FF7003" w:rsidP="00FF7003"/>
        </w:tc>
        <w:tc>
          <w:tcPr>
            <w:tcW w:w="791" w:type="dxa"/>
            <w:vAlign w:val="center"/>
          </w:tcPr>
          <w:p w14:paraId="665C366C" w14:textId="77777777" w:rsidR="00FF7003" w:rsidRPr="00A172CC" w:rsidRDefault="00FF7003" w:rsidP="00FF7003"/>
        </w:tc>
        <w:tc>
          <w:tcPr>
            <w:tcW w:w="792" w:type="dxa"/>
            <w:vAlign w:val="center"/>
          </w:tcPr>
          <w:p w14:paraId="7AA0AD10" w14:textId="77777777" w:rsidR="00FF7003" w:rsidRPr="00A172CC" w:rsidRDefault="00FF7003" w:rsidP="00FF7003"/>
        </w:tc>
      </w:tr>
      <w:tr w:rsidR="00FF7003" w:rsidRPr="00A172CC" w14:paraId="6B4DBF19" w14:textId="77777777" w:rsidTr="00FF7003">
        <w:trPr>
          <w:trHeight w:hRule="exact" w:val="397"/>
        </w:trPr>
        <w:tc>
          <w:tcPr>
            <w:tcW w:w="4208" w:type="dxa"/>
            <w:vAlign w:val="center"/>
          </w:tcPr>
          <w:p w14:paraId="357ED932" w14:textId="77777777" w:rsidR="00FF7003" w:rsidRPr="00A172CC" w:rsidRDefault="00FF7003" w:rsidP="00FF7003">
            <w:pPr>
              <w:rPr>
                <w:highlight w:val="yellow"/>
              </w:rPr>
            </w:pPr>
            <w:r w:rsidRPr="00A172CC">
              <w:t>International Trade</w:t>
            </w:r>
          </w:p>
        </w:tc>
        <w:tc>
          <w:tcPr>
            <w:tcW w:w="1001" w:type="dxa"/>
            <w:vAlign w:val="center"/>
          </w:tcPr>
          <w:p w14:paraId="5E5F26EF" w14:textId="02CB47CA" w:rsidR="00FF7003" w:rsidRPr="00A172CC" w:rsidRDefault="006D5A32" w:rsidP="00FF7003">
            <w:r>
              <w:t>1</w:t>
            </w:r>
            <w:r w:rsidR="00B42251">
              <w:t>4</w:t>
            </w:r>
          </w:p>
        </w:tc>
        <w:tc>
          <w:tcPr>
            <w:tcW w:w="791" w:type="dxa"/>
            <w:vAlign w:val="center"/>
          </w:tcPr>
          <w:p w14:paraId="036586FB" w14:textId="77777777" w:rsidR="00FF7003" w:rsidRPr="00A172CC" w:rsidRDefault="00FF7003" w:rsidP="00FF7003"/>
        </w:tc>
        <w:tc>
          <w:tcPr>
            <w:tcW w:w="792" w:type="dxa"/>
            <w:vAlign w:val="center"/>
          </w:tcPr>
          <w:p w14:paraId="68F7EABA" w14:textId="69DFE7C4" w:rsidR="00FF7003" w:rsidRPr="00A172CC" w:rsidRDefault="00FF7003" w:rsidP="00FF7003"/>
        </w:tc>
        <w:tc>
          <w:tcPr>
            <w:tcW w:w="791" w:type="dxa"/>
            <w:vAlign w:val="center"/>
          </w:tcPr>
          <w:p w14:paraId="09F4CD78" w14:textId="469B84F9" w:rsidR="00FF7003" w:rsidRPr="00A172CC" w:rsidRDefault="00B42251" w:rsidP="00FF7003">
            <w:r>
              <w:t>14</w:t>
            </w:r>
          </w:p>
        </w:tc>
        <w:tc>
          <w:tcPr>
            <w:tcW w:w="792" w:type="dxa"/>
            <w:vAlign w:val="center"/>
          </w:tcPr>
          <w:p w14:paraId="0F7B3DA7" w14:textId="1771A1B4" w:rsidR="00FF7003" w:rsidRPr="00A172CC" w:rsidRDefault="00B42251" w:rsidP="00FF7003">
            <w:r>
              <w:t>7.5</w:t>
            </w:r>
          </w:p>
        </w:tc>
        <w:tc>
          <w:tcPr>
            <w:tcW w:w="791" w:type="dxa"/>
            <w:vAlign w:val="center"/>
          </w:tcPr>
          <w:p w14:paraId="05F8E6F8" w14:textId="5DDB749D" w:rsidR="00FF7003" w:rsidRPr="00A172CC" w:rsidRDefault="00B42251" w:rsidP="00FF7003">
            <w:r>
              <w:t>50</w:t>
            </w:r>
          </w:p>
        </w:tc>
        <w:tc>
          <w:tcPr>
            <w:tcW w:w="792" w:type="dxa"/>
            <w:vAlign w:val="center"/>
          </w:tcPr>
          <w:p w14:paraId="38C16D85" w14:textId="6F5A842F" w:rsidR="00FF7003" w:rsidRPr="00A172CC" w:rsidRDefault="00B42251" w:rsidP="00FF7003">
            <w:r>
              <w:t>21</w:t>
            </w:r>
          </w:p>
        </w:tc>
        <w:tc>
          <w:tcPr>
            <w:tcW w:w="791" w:type="dxa"/>
            <w:vAlign w:val="center"/>
          </w:tcPr>
          <w:p w14:paraId="6F934E59" w14:textId="32E74ADE" w:rsidR="00FF7003" w:rsidRPr="00A172CC" w:rsidRDefault="00FF7003" w:rsidP="00FF7003"/>
        </w:tc>
        <w:tc>
          <w:tcPr>
            <w:tcW w:w="792" w:type="dxa"/>
            <w:vAlign w:val="center"/>
          </w:tcPr>
          <w:p w14:paraId="01318DAB" w14:textId="0BFCEF01" w:rsidR="00FF7003" w:rsidRPr="00A172CC" w:rsidRDefault="00B42251" w:rsidP="00FF7003">
            <w:r>
              <w:t>7.5</w:t>
            </w:r>
          </w:p>
        </w:tc>
        <w:tc>
          <w:tcPr>
            <w:tcW w:w="791" w:type="dxa"/>
            <w:vAlign w:val="center"/>
          </w:tcPr>
          <w:p w14:paraId="65148ACC" w14:textId="77777777" w:rsidR="00FF7003" w:rsidRPr="00A172CC" w:rsidRDefault="00FF7003" w:rsidP="00FF7003"/>
        </w:tc>
        <w:tc>
          <w:tcPr>
            <w:tcW w:w="792" w:type="dxa"/>
            <w:vAlign w:val="center"/>
          </w:tcPr>
          <w:p w14:paraId="601D9E5B" w14:textId="77777777" w:rsidR="00FF7003" w:rsidRPr="00A172CC" w:rsidRDefault="00FF7003" w:rsidP="00FF7003"/>
        </w:tc>
        <w:tc>
          <w:tcPr>
            <w:tcW w:w="791" w:type="dxa"/>
            <w:vAlign w:val="center"/>
          </w:tcPr>
          <w:p w14:paraId="6B510417" w14:textId="77777777" w:rsidR="00FF7003" w:rsidRPr="00A172CC" w:rsidRDefault="00FF7003" w:rsidP="00FF7003"/>
        </w:tc>
        <w:tc>
          <w:tcPr>
            <w:tcW w:w="792" w:type="dxa"/>
            <w:vAlign w:val="center"/>
          </w:tcPr>
          <w:p w14:paraId="1E16C9F0" w14:textId="77777777" w:rsidR="00FF7003" w:rsidRPr="00A172CC" w:rsidRDefault="00FF7003" w:rsidP="00FF7003"/>
        </w:tc>
      </w:tr>
      <w:tr w:rsidR="00FF7003" w:rsidRPr="00A172CC" w14:paraId="44983CB9" w14:textId="77777777" w:rsidTr="00FF7003">
        <w:trPr>
          <w:trHeight w:hRule="exact" w:val="397"/>
        </w:trPr>
        <w:tc>
          <w:tcPr>
            <w:tcW w:w="4208" w:type="dxa"/>
            <w:vAlign w:val="center"/>
          </w:tcPr>
          <w:p w14:paraId="20A903CA" w14:textId="77777777" w:rsidR="00FF7003" w:rsidRPr="00A172CC" w:rsidRDefault="00FF7003" w:rsidP="00FF7003">
            <w:pPr>
              <w:rPr>
                <w:highlight w:val="yellow"/>
              </w:rPr>
            </w:pPr>
            <w:r w:rsidRPr="00A172CC">
              <w:t>Labour Law</w:t>
            </w:r>
          </w:p>
        </w:tc>
        <w:tc>
          <w:tcPr>
            <w:tcW w:w="1001" w:type="dxa"/>
            <w:vAlign w:val="center"/>
          </w:tcPr>
          <w:p w14:paraId="0F0330D5" w14:textId="0169C0C6" w:rsidR="00FF7003" w:rsidRPr="00A172CC" w:rsidRDefault="00B42251" w:rsidP="00FF7003">
            <w:r>
              <w:t>1</w:t>
            </w:r>
          </w:p>
        </w:tc>
        <w:tc>
          <w:tcPr>
            <w:tcW w:w="791" w:type="dxa"/>
            <w:vAlign w:val="center"/>
          </w:tcPr>
          <w:p w14:paraId="087503B2" w14:textId="77777777" w:rsidR="00FF7003" w:rsidRPr="00A172CC" w:rsidRDefault="00FF7003" w:rsidP="00FF7003"/>
        </w:tc>
        <w:tc>
          <w:tcPr>
            <w:tcW w:w="792" w:type="dxa"/>
            <w:vAlign w:val="center"/>
          </w:tcPr>
          <w:p w14:paraId="0C1B6C81" w14:textId="24AE6EE7" w:rsidR="00FF7003" w:rsidRPr="00A172CC" w:rsidRDefault="00FF7003" w:rsidP="00FF7003"/>
        </w:tc>
        <w:tc>
          <w:tcPr>
            <w:tcW w:w="791" w:type="dxa"/>
            <w:vAlign w:val="center"/>
          </w:tcPr>
          <w:p w14:paraId="131E441E" w14:textId="23984C28" w:rsidR="00FF7003" w:rsidRPr="00A172CC" w:rsidRDefault="00FF7003" w:rsidP="00FF7003"/>
        </w:tc>
        <w:tc>
          <w:tcPr>
            <w:tcW w:w="792" w:type="dxa"/>
            <w:vAlign w:val="center"/>
          </w:tcPr>
          <w:p w14:paraId="0B27EFAB" w14:textId="3D3B3620" w:rsidR="00FF7003" w:rsidRPr="00A172CC" w:rsidRDefault="00FF7003" w:rsidP="00FF7003"/>
        </w:tc>
        <w:tc>
          <w:tcPr>
            <w:tcW w:w="791" w:type="dxa"/>
            <w:vAlign w:val="center"/>
          </w:tcPr>
          <w:p w14:paraId="16223283" w14:textId="6B0F18E7" w:rsidR="00FF7003" w:rsidRPr="00A172CC" w:rsidRDefault="00FF7003" w:rsidP="00FF7003"/>
        </w:tc>
        <w:tc>
          <w:tcPr>
            <w:tcW w:w="792" w:type="dxa"/>
            <w:vAlign w:val="center"/>
          </w:tcPr>
          <w:p w14:paraId="38F898B1" w14:textId="456FBF6A" w:rsidR="00FF7003" w:rsidRPr="00A172CC" w:rsidRDefault="00FF7003" w:rsidP="00FF7003"/>
        </w:tc>
        <w:tc>
          <w:tcPr>
            <w:tcW w:w="791" w:type="dxa"/>
            <w:vAlign w:val="center"/>
          </w:tcPr>
          <w:p w14:paraId="3406949F" w14:textId="77777777" w:rsidR="00FF7003" w:rsidRPr="00A172CC" w:rsidRDefault="00FF7003" w:rsidP="00FF7003"/>
        </w:tc>
        <w:tc>
          <w:tcPr>
            <w:tcW w:w="792" w:type="dxa"/>
            <w:vAlign w:val="center"/>
          </w:tcPr>
          <w:p w14:paraId="7B8054D3" w14:textId="62C5F533" w:rsidR="00FF7003" w:rsidRPr="00A172CC" w:rsidRDefault="00B42251" w:rsidP="00FF7003">
            <w:r>
              <w:t>100</w:t>
            </w:r>
          </w:p>
        </w:tc>
        <w:tc>
          <w:tcPr>
            <w:tcW w:w="791" w:type="dxa"/>
            <w:vAlign w:val="center"/>
          </w:tcPr>
          <w:p w14:paraId="05432448" w14:textId="08CD4228" w:rsidR="00FF7003" w:rsidRPr="00A172CC" w:rsidRDefault="00FF7003" w:rsidP="00FF7003"/>
        </w:tc>
        <w:tc>
          <w:tcPr>
            <w:tcW w:w="792" w:type="dxa"/>
            <w:vAlign w:val="center"/>
          </w:tcPr>
          <w:p w14:paraId="7BD39AEB" w14:textId="77777777" w:rsidR="00FF7003" w:rsidRPr="00A172CC" w:rsidRDefault="00FF7003" w:rsidP="00FF7003"/>
        </w:tc>
        <w:tc>
          <w:tcPr>
            <w:tcW w:w="791" w:type="dxa"/>
            <w:vAlign w:val="center"/>
          </w:tcPr>
          <w:p w14:paraId="7FEB357C" w14:textId="77777777" w:rsidR="00FF7003" w:rsidRPr="00A172CC" w:rsidRDefault="00FF7003" w:rsidP="00FF7003"/>
        </w:tc>
        <w:tc>
          <w:tcPr>
            <w:tcW w:w="792" w:type="dxa"/>
            <w:vAlign w:val="center"/>
          </w:tcPr>
          <w:p w14:paraId="7D6FC9A8" w14:textId="77777777" w:rsidR="00FF7003" w:rsidRPr="00A172CC" w:rsidRDefault="00FF7003" w:rsidP="00FF7003"/>
        </w:tc>
      </w:tr>
      <w:tr w:rsidR="00FF7003" w:rsidRPr="00A172CC" w14:paraId="6D04E6E2" w14:textId="77777777" w:rsidTr="00FF7003">
        <w:trPr>
          <w:trHeight w:hRule="exact" w:val="397"/>
        </w:trPr>
        <w:tc>
          <w:tcPr>
            <w:tcW w:w="4208" w:type="dxa"/>
            <w:vAlign w:val="center"/>
          </w:tcPr>
          <w:p w14:paraId="1F5E6771" w14:textId="77777777" w:rsidR="00FF7003" w:rsidRPr="00A172CC" w:rsidRDefault="00FF7003" w:rsidP="00FF7003">
            <w:r w:rsidRPr="00A172CC">
              <w:t>Media Law</w:t>
            </w:r>
          </w:p>
        </w:tc>
        <w:tc>
          <w:tcPr>
            <w:tcW w:w="1001" w:type="dxa"/>
            <w:vAlign w:val="center"/>
          </w:tcPr>
          <w:p w14:paraId="03B3128D" w14:textId="5F1947FF" w:rsidR="00FF7003" w:rsidRPr="00A172CC" w:rsidRDefault="007162DB" w:rsidP="00FF7003">
            <w:r>
              <w:t>24</w:t>
            </w:r>
          </w:p>
        </w:tc>
        <w:tc>
          <w:tcPr>
            <w:tcW w:w="791" w:type="dxa"/>
            <w:vAlign w:val="center"/>
          </w:tcPr>
          <w:p w14:paraId="07DB5D0E" w14:textId="6154E634" w:rsidR="00FF7003" w:rsidRPr="00A172CC" w:rsidRDefault="007162DB" w:rsidP="00FF7003">
            <w:r>
              <w:t>4</w:t>
            </w:r>
          </w:p>
        </w:tc>
        <w:tc>
          <w:tcPr>
            <w:tcW w:w="792" w:type="dxa"/>
            <w:vAlign w:val="center"/>
          </w:tcPr>
          <w:p w14:paraId="058D8D8C" w14:textId="061ABB0C" w:rsidR="00FF7003" w:rsidRPr="00A172CC" w:rsidRDefault="007162DB" w:rsidP="00FF7003">
            <w:r>
              <w:t>13</w:t>
            </w:r>
          </w:p>
        </w:tc>
        <w:tc>
          <w:tcPr>
            <w:tcW w:w="791" w:type="dxa"/>
            <w:vAlign w:val="center"/>
          </w:tcPr>
          <w:p w14:paraId="227BF4D3" w14:textId="65DCB4A6" w:rsidR="00FF7003" w:rsidRPr="00A172CC" w:rsidRDefault="007162DB" w:rsidP="00FF7003">
            <w:r>
              <w:t>8</w:t>
            </w:r>
          </w:p>
        </w:tc>
        <w:tc>
          <w:tcPr>
            <w:tcW w:w="792" w:type="dxa"/>
            <w:vAlign w:val="center"/>
          </w:tcPr>
          <w:p w14:paraId="086C08A4" w14:textId="4C619724" w:rsidR="00FF7003" w:rsidRPr="00A172CC" w:rsidRDefault="007162DB" w:rsidP="00FF7003">
            <w:r>
              <w:t>8</w:t>
            </w:r>
          </w:p>
        </w:tc>
        <w:tc>
          <w:tcPr>
            <w:tcW w:w="791" w:type="dxa"/>
            <w:vAlign w:val="center"/>
          </w:tcPr>
          <w:p w14:paraId="339421B8" w14:textId="5E067082" w:rsidR="00FF7003" w:rsidRPr="00A172CC" w:rsidRDefault="007162DB" w:rsidP="00FF7003">
            <w:r>
              <w:t>38</w:t>
            </w:r>
          </w:p>
        </w:tc>
        <w:tc>
          <w:tcPr>
            <w:tcW w:w="792" w:type="dxa"/>
            <w:vAlign w:val="center"/>
          </w:tcPr>
          <w:p w14:paraId="54DE54C7" w14:textId="676F9DA4" w:rsidR="00FF7003" w:rsidRPr="00A172CC" w:rsidRDefault="007162DB" w:rsidP="00FF7003">
            <w:r>
              <w:t>21</w:t>
            </w:r>
          </w:p>
        </w:tc>
        <w:tc>
          <w:tcPr>
            <w:tcW w:w="791" w:type="dxa"/>
            <w:vAlign w:val="center"/>
          </w:tcPr>
          <w:p w14:paraId="70673453" w14:textId="4C25D6B7" w:rsidR="00FF7003" w:rsidRPr="00A172CC" w:rsidRDefault="007162DB" w:rsidP="00FF7003">
            <w:r>
              <w:t>4</w:t>
            </w:r>
          </w:p>
        </w:tc>
        <w:tc>
          <w:tcPr>
            <w:tcW w:w="792" w:type="dxa"/>
            <w:vAlign w:val="center"/>
          </w:tcPr>
          <w:p w14:paraId="424F52C8" w14:textId="579A9AE6" w:rsidR="00FF7003" w:rsidRPr="00A172CC" w:rsidRDefault="007162DB" w:rsidP="00FF7003">
            <w:r>
              <w:t>4</w:t>
            </w:r>
          </w:p>
        </w:tc>
        <w:tc>
          <w:tcPr>
            <w:tcW w:w="791" w:type="dxa"/>
            <w:vAlign w:val="center"/>
          </w:tcPr>
          <w:p w14:paraId="78279B98" w14:textId="77777777" w:rsidR="00FF7003" w:rsidRPr="00A172CC" w:rsidRDefault="00FF7003" w:rsidP="00FF7003"/>
        </w:tc>
        <w:tc>
          <w:tcPr>
            <w:tcW w:w="792" w:type="dxa"/>
            <w:vAlign w:val="center"/>
          </w:tcPr>
          <w:p w14:paraId="2289075D" w14:textId="77777777" w:rsidR="00FF7003" w:rsidRPr="00A172CC" w:rsidRDefault="00FF7003" w:rsidP="00FF7003"/>
        </w:tc>
        <w:tc>
          <w:tcPr>
            <w:tcW w:w="791" w:type="dxa"/>
            <w:vAlign w:val="center"/>
          </w:tcPr>
          <w:p w14:paraId="7DEC390C" w14:textId="77777777" w:rsidR="00FF7003" w:rsidRPr="00A172CC" w:rsidRDefault="00FF7003" w:rsidP="00FF7003"/>
        </w:tc>
        <w:tc>
          <w:tcPr>
            <w:tcW w:w="792" w:type="dxa"/>
            <w:vAlign w:val="center"/>
          </w:tcPr>
          <w:p w14:paraId="6A557F63" w14:textId="77777777" w:rsidR="00FF7003" w:rsidRPr="00A172CC" w:rsidRDefault="00FF7003" w:rsidP="00FF7003"/>
        </w:tc>
      </w:tr>
      <w:tr w:rsidR="00FF7003" w:rsidRPr="00A172CC" w14:paraId="2543E40C" w14:textId="77777777" w:rsidTr="00FF7003">
        <w:trPr>
          <w:trHeight w:hRule="exact" w:val="397"/>
        </w:trPr>
        <w:tc>
          <w:tcPr>
            <w:tcW w:w="4208" w:type="dxa"/>
            <w:vAlign w:val="center"/>
          </w:tcPr>
          <w:p w14:paraId="701A57D9" w14:textId="77777777" w:rsidR="00FF7003" w:rsidRPr="00A172CC" w:rsidRDefault="00FF7003" w:rsidP="00FF7003">
            <w:r w:rsidRPr="00A172CC">
              <w:t>Medical Law and Ethics</w:t>
            </w:r>
          </w:p>
        </w:tc>
        <w:tc>
          <w:tcPr>
            <w:tcW w:w="1001" w:type="dxa"/>
            <w:vAlign w:val="center"/>
          </w:tcPr>
          <w:p w14:paraId="3DA90177" w14:textId="48F0BECF" w:rsidR="00FF7003" w:rsidRPr="00A172CC" w:rsidRDefault="00130493" w:rsidP="00FF7003">
            <w:r>
              <w:t>51</w:t>
            </w:r>
          </w:p>
        </w:tc>
        <w:tc>
          <w:tcPr>
            <w:tcW w:w="791" w:type="dxa"/>
            <w:vAlign w:val="center"/>
          </w:tcPr>
          <w:p w14:paraId="17A9FFC9" w14:textId="77777777" w:rsidR="00FF7003" w:rsidRPr="00A172CC" w:rsidRDefault="00FF7003" w:rsidP="00FF7003"/>
        </w:tc>
        <w:tc>
          <w:tcPr>
            <w:tcW w:w="792" w:type="dxa"/>
            <w:vAlign w:val="center"/>
          </w:tcPr>
          <w:p w14:paraId="6FC6756B" w14:textId="0E7202F2" w:rsidR="00FF7003" w:rsidRPr="00A172CC" w:rsidRDefault="005A5285" w:rsidP="00FF7003">
            <w:r>
              <w:t>10</w:t>
            </w:r>
          </w:p>
        </w:tc>
        <w:tc>
          <w:tcPr>
            <w:tcW w:w="791" w:type="dxa"/>
            <w:vAlign w:val="center"/>
          </w:tcPr>
          <w:p w14:paraId="2B937AF1" w14:textId="1A93358E" w:rsidR="00FF7003" w:rsidRPr="00A172CC" w:rsidRDefault="005A5285" w:rsidP="00FF7003">
            <w:r>
              <w:t>6</w:t>
            </w:r>
          </w:p>
        </w:tc>
        <w:tc>
          <w:tcPr>
            <w:tcW w:w="792" w:type="dxa"/>
            <w:vAlign w:val="center"/>
          </w:tcPr>
          <w:p w14:paraId="53E026C6" w14:textId="2805C8F5" w:rsidR="00FF7003" w:rsidRPr="00A172CC" w:rsidRDefault="005A5285" w:rsidP="00FF7003">
            <w:r>
              <w:t>10</w:t>
            </w:r>
          </w:p>
        </w:tc>
        <w:tc>
          <w:tcPr>
            <w:tcW w:w="791" w:type="dxa"/>
            <w:vAlign w:val="center"/>
          </w:tcPr>
          <w:p w14:paraId="593C4EBF" w14:textId="1B7DF27B" w:rsidR="00FF7003" w:rsidRPr="00A172CC" w:rsidRDefault="005A5285" w:rsidP="00FF7003">
            <w:r>
              <w:t>31</w:t>
            </w:r>
          </w:p>
        </w:tc>
        <w:tc>
          <w:tcPr>
            <w:tcW w:w="792" w:type="dxa"/>
            <w:vAlign w:val="center"/>
          </w:tcPr>
          <w:p w14:paraId="79A5E6E6" w14:textId="3D14926E" w:rsidR="00FF7003" w:rsidRPr="00A172CC" w:rsidRDefault="005A5285" w:rsidP="00FF7003">
            <w:r>
              <w:t>28</w:t>
            </w:r>
          </w:p>
        </w:tc>
        <w:tc>
          <w:tcPr>
            <w:tcW w:w="791" w:type="dxa"/>
            <w:vAlign w:val="center"/>
          </w:tcPr>
          <w:p w14:paraId="6C980CDF" w14:textId="7F7C691D" w:rsidR="00FF7003" w:rsidRPr="00A172CC" w:rsidRDefault="00FF7003" w:rsidP="00FF7003"/>
        </w:tc>
        <w:tc>
          <w:tcPr>
            <w:tcW w:w="792" w:type="dxa"/>
            <w:vAlign w:val="center"/>
          </w:tcPr>
          <w:p w14:paraId="2032C904" w14:textId="774A7DBE" w:rsidR="00FF7003" w:rsidRPr="00A172CC" w:rsidRDefault="005A5285" w:rsidP="00FF7003">
            <w:r>
              <w:t>11</w:t>
            </w:r>
          </w:p>
        </w:tc>
        <w:tc>
          <w:tcPr>
            <w:tcW w:w="791" w:type="dxa"/>
            <w:vAlign w:val="center"/>
          </w:tcPr>
          <w:p w14:paraId="5756579F" w14:textId="08FBFE30" w:rsidR="00FF7003" w:rsidRPr="00A172CC" w:rsidRDefault="005A5285" w:rsidP="00FF7003">
            <w:r>
              <w:t>4</w:t>
            </w:r>
          </w:p>
        </w:tc>
        <w:tc>
          <w:tcPr>
            <w:tcW w:w="792" w:type="dxa"/>
            <w:vAlign w:val="center"/>
          </w:tcPr>
          <w:p w14:paraId="266C5F4E" w14:textId="77777777" w:rsidR="00FF7003" w:rsidRPr="00A172CC" w:rsidRDefault="00FF7003" w:rsidP="00FF7003"/>
        </w:tc>
        <w:tc>
          <w:tcPr>
            <w:tcW w:w="791" w:type="dxa"/>
            <w:vAlign w:val="center"/>
          </w:tcPr>
          <w:p w14:paraId="2691066F" w14:textId="77777777" w:rsidR="00FF7003" w:rsidRPr="00A172CC" w:rsidRDefault="00FF7003" w:rsidP="00FF7003"/>
        </w:tc>
        <w:tc>
          <w:tcPr>
            <w:tcW w:w="792" w:type="dxa"/>
            <w:vAlign w:val="center"/>
          </w:tcPr>
          <w:p w14:paraId="24B094A9" w14:textId="77777777" w:rsidR="00FF7003" w:rsidRPr="00A172CC" w:rsidRDefault="00FF7003" w:rsidP="00FF7003"/>
        </w:tc>
      </w:tr>
      <w:tr w:rsidR="00FF7003" w:rsidRPr="00A172CC" w14:paraId="3516E9E6" w14:textId="77777777" w:rsidTr="00FF7003">
        <w:trPr>
          <w:trHeight w:hRule="exact" w:val="397"/>
        </w:trPr>
        <w:tc>
          <w:tcPr>
            <w:tcW w:w="4208" w:type="dxa"/>
            <w:vAlign w:val="center"/>
          </w:tcPr>
          <w:p w14:paraId="3890733B" w14:textId="77777777" w:rsidR="00FF7003" w:rsidRPr="00A172CC" w:rsidRDefault="00FF7003" w:rsidP="00FF7003">
            <w:pPr>
              <w:rPr>
                <w:highlight w:val="yellow"/>
              </w:rPr>
            </w:pPr>
            <w:r w:rsidRPr="00A172CC">
              <w:t>Moral and Political Philosophy</w:t>
            </w:r>
          </w:p>
        </w:tc>
        <w:tc>
          <w:tcPr>
            <w:tcW w:w="1001" w:type="dxa"/>
            <w:vAlign w:val="center"/>
          </w:tcPr>
          <w:p w14:paraId="18A1743B" w14:textId="630BB0FA" w:rsidR="00FF7003" w:rsidRPr="00A172CC" w:rsidRDefault="005A5285" w:rsidP="00FF7003">
            <w:r>
              <w:t>34</w:t>
            </w:r>
          </w:p>
        </w:tc>
        <w:tc>
          <w:tcPr>
            <w:tcW w:w="791" w:type="dxa"/>
            <w:vAlign w:val="center"/>
          </w:tcPr>
          <w:p w14:paraId="04F4AE17" w14:textId="1A847F8B" w:rsidR="00FF7003" w:rsidRPr="00A172CC" w:rsidRDefault="00364804" w:rsidP="00FF7003">
            <w:r>
              <w:t>3</w:t>
            </w:r>
          </w:p>
        </w:tc>
        <w:tc>
          <w:tcPr>
            <w:tcW w:w="792" w:type="dxa"/>
            <w:vAlign w:val="center"/>
          </w:tcPr>
          <w:p w14:paraId="39C753BD" w14:textId="07CF221B" w:rsidR="00FF7003" w:rsidRPr="00A172CC" w:rsidRDefault="00364804" w:rsidP="00FF7003">
            <w:r>
              <w:t>20</w:t>
            </w:r>
          </w:p>
        </w:tc>
        <w:tc>
          <w:tcPr>
            <w:tcW w:w="791" w:type="dxa"/>
            <w:vAlign w:val="center"/>
          </w:tcPr>
          <w:p w14:paraId="2EE45A05" w14:textId="0B032810" w:rsidR="00FF7003" w:rsidRPr="00A172CC" w:rsidRDefault="00364804" w:rsidP="00FF7003">
            <w:r>
              <w:t>15</w:t>
            </w:r>
          </w:p>
        </w:tc>
        <w:tc>
          <w:tcPr>
            <w:tcW w:w="792" w:type="dxa"/>
            <w:vAlign w:val="center"/>
          </w:tcPr>
          <w:p w14:paraId="095E3BED" w14:textId="7F7A637B" w:rsidR="00FF7003" w:rsidRPr="00A172CC" w:rsidRDefault="00364804" w:rsidP="00FF7003">
            <w:r>
              <w:t>3</w:t>
            </w:r>
          </w:p>
        </w:tc>
        <w:tc>
          <w:tcPr>
            <w:tcW w:w="791" w:type="dxa"/>
            <w:vAlign w:val="center"/>
          </w:tcPr>
          <w:p w14:paraId="7F2D98DC" w14:textId="5BAE36E8" w:rsidR="00FF7003" w:rsidRPr="00A172CC" w:rsidRDefault="00364804" w:rsidP="00FF7003">
            <w:r>
              <w:t>29</w:t>
            </w:r>
          </w:p>
        </w:tc>
        <w:tc>
          <w:tcPr>
            <w:tcW w:w="792" w:type="dxa"/>
            <w:vAlign w:val="center"/>
          </w:tcPr>
          <w:p w14:paraId="134E1EBE" w14:textId="371943A3" w:rsidR="00FF7003" w:rsidRPr="00A172CC" w:rsidRDefault="00364804" w:rsidP="00FF7003">
            <w:r>
              <w:t>15</w:t>
            </w:r>
          </w:p>
        </w:tc>
        <w:tc>
          <w:tcPr>
            <w:tcW w:w="791" w:type="dxa"/>
            <w:vAlign w:val="center"/>
          </w:tcPr>
          <w:p w14:paraId="36FE2B60" w14:textId="63F7ED35" w:rsidR="00FF7003" w:rsidRPr="00A172CC" w:rsidRDefault="00364804" w:rsidP="00FF7003">
            <w:r>
              <w:t>6</w:t>
            </w:r>
          </w:p>
        </w:tc>
        <w:tc>
          <w:tcPr>
            <w:tcW w:w="792" w:type="dxa"/>
            <w:vAlign w:val="center"/>
          </w:tcPr>
          <w:p w14:paraId="4FD2DF3C" w14:textId="65F45543" w:rsidR="00FF7003" w:rsidRPr="00A172CC" w:rsidRDefault="00364804" w:rsidP="00FF7003">
            <w:r>
              <w:t>6</w:t>
            </w:r>
          </w:p>
        </w:tc>
        <w:tc>
          <w:tcPr>
            <w:tcW w:w="791" w:type="dxa"/>
            <w:vAlign w:val="center"/>
          </w:tcPr>
          <w:p w14:paraId="67CAE712" w14:textId="3797108D" w:rsidR="00FF7003" w:rsidRPr="00A172CC" w:rsidRDefault="00364804" w:rsidP="00FF7003">
            <w:r>
              <w:t>3</w:t>
            </w:r>
          </w:p>
        </w:tc>
        <w:tc>
          <w:tcPr>
            <w:tcW w:w="792" w:type="dxa"/>
            <w:vAlign w:val="center"/>
          </w:tcPr>
          <w:p w14:paraId="6E0F9B6B" w14:textId="77777777" w:rsidR="00FF7003" w:rsidRPr="00A172CC" w:rsidRDefault="00FF7003" w:rsidP="00FF7003"/>
        </w:tc>
        <w:tc>
          <w:tcPr>
            <w:tcW w:w="791" w:type="dxa"/>
            <w:vAlign w:val="center"/>
          </w:tcPr>
          <w:p w14:paraId="67CA37B4" w14:textId="77777777" w:rsidR="00FF7003" w:rsidRPr="00A172CC" w:rsidRDefault="00FF7003" w:rsidP="00FF7003"/>
        </w:tc>
        <w:tc>
          <w:tcPr>
            <w:tcW w:w="792" w:type="dxa"/>
            <w:vAlign w:val="center"/>
          </w:tcPr>
          <w:p w14:paraId="53C7DA84" w14:textId="77777777" w:rsidR="00FF7003" w:rsidRPr="00A172CC" w:rsidRDefault="00FF7003" w:rsidP="00FF7003"/>
        </w:tc>
      </w:tr>
      <w:tr w:rsidR="00FF7003" w:rsidRPr="00A172CC" w14:paraId="4AEA9916" w14:textId="77777777" w:rsidTr="00FF7003">
        <w:trPr>
          <w:trHeight w:hRule="exact" w:val="397"/>
        </w:trPr>
        <w:tc>
          <w:tcPr>
            <w:tcW w:w="4208" w:type="dxa"/>
            <w:vAlign w:val="center"/>
          </w:tcPr>
          <w:p w14:paraId="4B17DE44" w14:textId="77777777" w:rsidR="00FF7003" w:rsidRPr="00A172CC" w:rsidRDefault="00FF7003" w:rsidP="00FF7003">
            <w:pPr>
              <w:rPr>
                <w:highlight w:val="yellow"/>
              </w:rPr>
            </w:pPr>
            <w:r w:rsidRPr="00A172CC">
              <w:t>Personal Property</w:t>
            </w:r>
          </w:p>
        </w:tc>
        <w:tc>
          <w:tcPr>
            <w:tcW w:w="1001" w:type="dxa"/>
            <w:vAlign w:val="center"/>
          </w:tcPr>
          <w:p w14:paraId="6DB6BC01" w14:textId="1ADEDB79" w:rsidR="00FF7003" w:rsidRPr="00A172CC" w:rsidRDefault="00364804" w:rsidP="00FF7003">
            <w:r>
              <w:t>15</w:t>
            </w:r>
          </w:p>
        </w:tc>
        <w:tc>
          <w:tcPr>
            <w:tcW w:w="791" w:type="dxa"/>
            <w:vAlign w:val="center"/>
          </w:tcPr>
          <w:p w14:paraId="16576262" w14:textId="77777777" w:rsidR="00FF7003" w:rsidRPr="00A172CC" w:rsidRDefault="00FF7003" w:rsidP="00FF7003"/>
        </w:tc>
        <w:tc>
          <w:tcPr>
            <w:tcW w:w="792" w:type="dxa"/>
            <w:vAlign w:val="center"/>
          </w:tcPr>
          <w:p w14:paraId="3166125C" w14:textId="4ECA361E" w:rsidR="00FF7003" w:rsidRPr="00A172CC" w:rsidRDefault="00364804" w:rsidP="00FF7003">
            <w:r>
              <w:t>7</w:t>
            </w:r>
          </w:p>
        </w:tc>
        <w:tc>
          <w:tcPr>
            <w:tcW w:w="791" w:type="dxa"/>
            <w:vAlign w:val="center"/>
          </w:tcPr>
          <w:p w14:paraId="33DB1536" w14:textId="5934D4F3" w:rsidR="00FF7003" w:rsidRPr="00A172CC" w:rsidRDefault="00364804" w:rsidP="00FF7003">
            <w:r>
              <w:t>47</w:t>
            </w:r>
          </w:p>
        </w:tc>
        <w:tc>
          <w:tcPr>
            <w:tcW w:w="792" w:type="dxa"/>
            <w:vAlign w:val="center"/>
          </w:tcPr>
          <w:p w14:paraId="76C97E86" w14:textId="77777777" w:rsidR="00FF7003" w:rsidRPr="00A172CC" w:rsidRDefault="00FF7003" w:rsidP="00FF7003"/>
        </w:tc>
        <w:tc>
          <w:tcPr>
            <w:tcW w:w="791" w:type="dxa"/>
            <w:vAlign w:val="center"/>
          </w:tcPr>
          <w:p w14:paraId="2B07C694" w14:textId="229B46B9" w:rsidR="00FF7003" w:rsidRPr="00A172CC" w:rsidRDefault="00364804" w:rsidP="00FF7003">
            <w:r>
              <w:t>27</w:t>
            </w:r>
          </w:p>
        </w:tc>
        <w:tc>
          <w:tcPr>
            <w:tcW w:w="792" w:type="dxa"/>
            <w:vAlign w:val="center"/>
          </w:tcPr>
          <w:p w14:paraId="6459E4D2" w14:textId="10936716" w:rsidR="00FF7003" w:rsidRPr="00A172CC" w:rsidRDefault="00364804" w:rsidP="00FF7003">
            <w:r>
              <w:t>19</w:t>
            </w:r>
          </w:p>
        </w:tc>
        <w:tc>
          <w:tcPr>
            <w:tcW w:w="791" w:type="dxa"/>
            <w:vAlign w:val="center"/>
          </w:tcPr>
          <w:p w14:paraId="67AC29F3" w14:textId="4829C20F" w:rsidR="00FF7003" w:rsidRPr="00A172CC" w:rsidRDefault="00FF7003" w:rsidP="00FF7003"/>
        </w:tc>
        <w:tc>
          <w:tcPr>
            <w:tcW w:w="792" w:type="dxa"/>
            <w:vAlign w:val="center"/>
          </w:tcPr>
          <w:p w14:paraId="52D22B10" w14:textId="60A229C8" w:rsidR="00FF7003" w:rsidRPr="00A172CC" w:rsidRDefault="00FF7003" w:rsidP="00FF7003"/>
        </w:tc>
        <w:tc>
          <w:tcPr>
            <w:tcW w:w="791" w:type="dxa"/>
            <w:vAlign w:val="center"/>
          </w:tcPr>
          <w:p w14:paraId="63CAF235" w14:textId="77777777" w:rsidR="00FF7003" w:rsidRPr="00A172CC" w:rsidRDefault="00FF7003" w:rsidP="00FF7003"/>
        </w:tc>
        <w:tc>
          <w:tcPr>
            <w:tcW w:w="792" w:type="dxa"/>
            <w:vAlign w:val="center"/>
          </w:tcPr>
          <w:p w14:paraId="7BBABC95" w14:textId="77777777" w:rsidR="00FF7003" w:rsidRPr="00A172CC" w:rsidRDefault="00FF7003" w:rsidP="00FF7003"/>
        </w:tc>
        <w:tc>
          <w:tcPr>
            <w:tcW w:w="791" w:type="dxa"/>
            <w:vAlign w:val="center"/>
          </w:tcPr>
          <w:p w14:paraId="45E19E75" w14:textId="77777777" w:rsidR="00FF7003" w:rsidRPr="00A172CC" w:rsidRDefault="00FF7003" w:rsidP="00FF7003"/>
        </w:tc>
        <w:tc>
          <w:tcPr>
            <w:tcW w:w="792" w:type="dxa"/>
            <w:vAlign w:val="center"/>
          </w:tcPr>
          <w:p w14:paraId="7B88D1EE" w14:textId="77777777" w:rsidR="00FF7003" w:rsidRPr="00A172CC" w:rsidRDefault="00FF7003" w:rsidP="00FF7003"/>
        </w:tc>
      </w:tr>
      <w:tr w:rsidR="00FF7003" w:rsidRPr="00A172CC" w14:paraId="5D85964F" w14:textId="77777777" w:rsidTr="00FF7003">
        <w:trPr>
          <w:trHeight w:hRule="exact" w:val="397"/>
        </w:trPr>
        <w:tc>
          <w:tcPr>
            <w:tcW w:w="4208" w:type="dxa"/>
            <w:vAlign w:val="center"/>
          </w:tcPr>
          <w:p w14:paraId="24FFC420" w14:textId="77777777" w:rsidR="00FF7003" w:rsidRPr="00A172CC" w:rsidRDefault="00FF7003" w:rsidP="00FF7003">
            <w:pPr>
              <w:rPr>
                <w:highlight w:val="yellow"/>
              </w:rPr>
            </w:pPr>
            <w:r w:rsidRPr="00A172CC">
              <w:t>PIL</w:t>
            </w:r>
          </w:p>
        </w:tc>
        <w:tc>
          <w:tcPr>
            <w:tcW w:w="1001" w:type="dxa"/>
            <w:vAlign w:val="center"/>
          </w:tcPr>
          <w:p w14:paraId="0313BF05" w14:textId="64FCE5FE" w:rsidR="00FF7003" w:rsidRPr="00A172CC" w:rsidRDefault="00364804" w:rsidP="00FF7003">
            <w:r>
              <w:t>36</w:t>
            </w:r>
          </w:p>
        </w:tc>
        <w:tc>
          <w:tcPr>
            <w:tcW w:w="791" w:type="dxa"/>
            <w:vAlign w:val="center"/>
          </w:tcPr>
          <w:p w14:paraId="2793C98E" w14:textId="77777777" w:rsidR="00FF7003" w:rsidRPr="00A172CC" w:rsidRDefault="00FF7003" w:rsidP="00FF7003"/>
        </w:tc>
        <w:tc>
          <w:tcPr>
            <w:tcW w:w="792" w:type="dxa"/>
            <w:vAlign w:val="center"/>
          </w:tcPr>
          <w:p w14:paraId="6BA822E7" w14:textId="64A89DE1" w:rsidR="00FF7003" w:rsidRPr="00A172CC" w:rsidRDefault="00364804" w:rsidP="00FF7003">
            <w:r>
              <w:t>11</w:t>
            </w:r>
          </w:p>
        </w:tc>
        <w:tc>
          <w:tcPr>
            <w:tcW w:w="791" w:type="dxa"/>
            <w:vAlign w:val="center"/>
          </w:tcPr>
          <w:p w14:paraId="2C4FF25A" w14:textId="5040E935" w:rsidR="00FF7003" w:rsidRPr="00A172CC" w:rsidRDefault="00364804" w:rsidP="00FF7003">
            <w:r>
              <w:t>19</w:t>
            </w:r>
          </w:p>
        </w:tc>
        <w:tc>
          <w:tcPr>
            <w:tcW w:w="792" w:type="dxa"/>
            <w:vAlign w:val="center"/>
          </w:tcPr>
          <w:p w14:paraId="1211390B" w14:textId="35E5054F" w:rsidR="00FF7003" w:rsidRPr="00A172CC" w:rsidRDefault="00364804" w:rsidP="00FF7003">
            <w:r>
              <w:t>17</w:t>
            </w:r>
          </w:p>
        </w:tc>
        <w:tc>
          <w:tcPr>
            <w:tcW w:w="791" w:type="dxa"/>
            <w:vAlign w:val="center"/>
          </w:tcPr>
          <w:p w14:paraId="39C62660" w14:textId="108E6E07" w:rsidR="00FF7003" w:rsidRPr="00A172CC" w:rsidRDefault="00364804" w:rsidP="00FF7003">
            <w:r>
              <w:t>33</w:t>
            </w:r>
          </w:p>
        </w:tc>
        <w:tc>
          <w:tcPr>
            <w:tcW w:w="792" w:type="dxa"/>
            <w:vAlign w:val="center"/>
          </w:tcPr>
          <w:p w14:paraId="01BB0061" w14:textId="28974AB5" w:rsidR="00FF7003" w:rsidRPr="00A172CC" w:rsidRDefault="00364804" w:rsidP="00FF7003">
            <w:r>
              <w:t>14</w:t>
            </w:r>
          </w:p>
        </w:tc>
        <w:tc>
          <w:tcPr>
            <w:tcW w:w="791" w:type="dxa"/>
            <w:vAlign w:val="center"/>
          </w:tcPr>
          <w:p w14:paraId="7E0A31FF" w14:textId="2CDC5579" w:rsidR="00FF7003" w:rsidRPr="00A172CC" w:rsidRDefault="00364804" w:rsidP="00FF7003">
            <w:r>
              <w:t>3</w:t>
            </w:r>
          </w:p>
        </w:tc>
        <w:tc>
          <w:tcPr>
            <w:tcW w:w="792" w:type="dxa"/>
            <w:vAlign w:val="center"/>
          </w:tcPr>
          <w:p w14:paraId="682CFCA5" w14:textId="131EA9FC" w:rsidR="00FF7003" w:rsidRPr="00A172CC" w:rsidRDefault="00FF7003" w:rsidP="00FF7003"/>
        </w:tc>
        <w:tc>
          <w:tcPr>
            <w:tcW w:w="791" w:type="dxa"/>
            <w:vAlign w:val="center"/>
          </w:tcPr>
          <w:p w14:paraId="20E54433" w14:textId="7065F96C" w:rsidR="00FF7003" w:rsidRPr="00A172CC" w:rsidRDefault="00FF7003" w:rsidP="00FF7003"/>
        </w:tc>
        <w:tc>
          <w:tcPr>
            <w:tcW w:w="792" w:type="dxa"/>
            <w:vAlign w:val="center"/>
          </w:tcPr>
          <w:p w14:paraId="16760E7B" w14:textId="59386047" w:rsidR="00FF7003" w:rsidRPr="00A172CC" w:rsidRDefault="00364804" w:rsidP="00FF7003">
            <w:r>
              <w:t>3</w:t>
            </w:r>
          </w:p>
        </w:tc>
        <w:tc>
          <w:tcPr>
            <w:tcW w:w="791" w:type="dxa"/>
            <w:vAlign w:val="center"/>
          </w:tcPr>
          <w:p w14:paraId="4A162FC4" w14:textId="77777777" w:rsidR="00FF7003" w:rsidRPr="00A172CC" w:rsidRDefault="00FF7003" w:rsidP="00FF7003"/>
        </w:tc>
        <w:tc>
          <w:tcPr>
            <w:tcW w:w="792" w:type="dxa"/>
            <w:vAlign w:val="center"/>
          </w:tcPr>
          <w:p w14:paraId="50335D0D" w14:textId="77777777" w:rsidR="00FF7003" w:rsidRPr="00A172CC" w:rsidRDefault="00FF7003" w:rsidP="00FF7003"/>
        </w:tc>
      </w:tr>
      <w:tr w:rsidR="00FF7003" w:rsidRPr="00A172CC" w14:paraId="1C6560FC" w14:textId="77777777" w:rsidTr="00FF7003">
        <w:trPr>
          <w:trHeight w:hRule="exact" w:val="397"/>
        </w:trPr>
        <w:tc>
          <w:tcPr>
            <w:tcW w:w="4208" w:type="dxa"/>
            <w:vAlign w:val="center"/>
          </w:tcPr>
          <w:p w14:paraId="68E445B0" w14:textId="77777777" w:rsidR="00FF7003" w:rsidRPr="00A172CC" w:rsidRDefault="00FF7003" w:rsidP="00FF7003">
            <w:pPr>
              <w:rPr>
                <w:highlight w:val="yellow"/>
              </w:rPr>
            </w:pPr>
            <w:r w:rsidRPr="00A172CC">
              <w:t>PIL Jessup Moot</w:t>
            </w:r>
          </w:p>
        </w:tc>
        <w:tc>
          <w:tcPr>
            <w:tcW w:w="1001" w:type="dxa"/>
            <w:vAlign w:val="center"/>
          </w:tcPr>
          <w:p w14:paraId="18526DD9" w14:textId="62D2680C" w:rsidR="00FF7003" w:rsidRPr="00A172CC" w:rsidRDefault="00364804" w:rsidP="00FF7003">
            <w:r>
              <w:t>5</w:t>
            </w:r>
          </w:p>
        </w:tc>
        <w:tc>
          <w:tcPr>
            <w:tcW w:w="791" w:type="dxa"/>
            <w:vAlign w:val="center"/>
          </w:tcPr>
          <w:p w14:paraId="2D4CC971" w14:textId="77777777" w:rsidR="00FF7003" w:rsidRPr="00A172CC" w:rsidRDefault="00FF7003" w:rsidP="00FF7003"/>
        </w:tc>
        <w:tc>
          <w:tcPr>
            <w:tcW w:w="792" w:type="dxa"/>
            <w:vAlign w:val="center"/>
          </w:tcPr>
          <w:p w14:paraId="75D8C2F3" w14:textId="791B1D34" w:rsidR="00FF7003" w:rsidRPr="00A172CC" w:rsidRDefault="00364804" w:rsidP="00FF7003">
            <w:r>
              <w:t>40</w:t>
            </w:r>
          </w:p>
        </w:tc>
        <w:tc>
          <w:tcPr>
            <w:tcW w:w="791" w:type="dxa"/>
            <w:vAlign w:val="center"/>
          </w:tcPr>
          <w:p w14:paraId="17BBC862" w14:textId="5FE8C8E6" w:rsidR="00FF7003" w:rsidRPr="00A172CC" w:rsidRDefault="00FF7003" w:rsidP="00FF7003"/>
        </w:tc>
        <w:tc>
          <w:tcPr>
            <w:tcW w:w="792" w:type="dxa"/>
            <w:vAlign w:val="center"/>
          </w:tcPr>
          <w:p w14:paraId="1A0324DB" w14:textId="6C81EFF9" w:rsidR="00FF7003" w:rsidRPr="00A172CC" w:rsidRDefault="00364804" w:rsidP="00FF7003">
            <w:r>
              <w:t>60</w:t>
            </w:r>
          </w:p>
        </w:tc>
        <w:tc>
          <w:tcPr>
            <w:tcW w:w="791" w:type="dxa"/>
            <w:vAlign w:val="center"/>
          </w:tcPr>
          <w:p w14:paraId="05A9A374" w14:textId="77777777" w:rsidR="00FF7003" w:rsidRPr="00A172CC" w:rsidRDefault="00FF7003" w:rsidP="00FF7003"/>
        </w:tc>
        <w:tc>
          <w:tcPr>
            <w:tcW w:w="792" w:type="dxa"/>
            <w:vAlign w:val="center"/>
          </w:tcPr>
          <w:p w14:paraId="57F04DF7" w14:textId="77777777" w:rsidR="00FF7003" w:rsidRPr="00A172CC" w:rsidRDefault="00FF7003" w:rsidP="00FF7003"/>
        </w:tc>
        <w:tc>
          <w:tcPr>
            <w:tcW w:w="791" w:type="dxa"/>
            <w:vAlign w:val="center"/>
          </w:tcPr>
          <w:p w14:paraId="38EBD8BE" w14:textId="77777777" w:rsidR="00FF7003" w:rsidRPr="00A172CC" w:rsidRDefault="00FF7003" w:rsidP="00FF7003"/>
        </w:tc>
        <w:tc>
          <w:tcPr>
            <w:tcW w:w="792" w:type="dxa"/>
            <w:vAlign w:val="center"/>
          </w:tcPr>
          <w:p w14:paraId="4AE6CCF6" w14:textId="77777777" w:rsidR="00FF7003" w:rsidRPr="00A172CC" w:rsidRDefault="00FF7003" w:rsidP="00FF7003"/>
        </w:tc>
        <w:tc>
          <w:tcPr>
            <w:tcW w:w="791" w:type="dxa"/>
            <w:vAlign w:val="center"/>
          </w:tcPr>
          <w:p w14:paraId="1351CE57" w14:textId="77777777" w:rsidR="00FF7003" w:rsidRPr="00A172CC" w:rsidRDefault="00FF7003" w:rsidP="00FF7003"/>
        </w:tc>
        <w:tc>
          <w:tcPr>
            <w:tcW w:w="792" w:type="dxa"/>
            <w:vAlign w:val="center"/>
          </w:tcPr>
          <w:p w14:paraId="44659255" w14:textId="77777777" w:rsidR="00FF7003" w:rsidRPr="00A172CC" w:rsidRDefault="00FF7003" w:rsidP="00FF7003"/>
        </w:tc>
        <w:tc>
          <w:tcPr>
            <w:tcW w:w="791" w:type="dxa"/>
            <w:vAlign w:val="center"/>
          </w:tcPr>
          <w:p w14:paraId="07AB9F99" w14:textId="77777777" w:rsidR="00FF7003" w:rsidRPr="00A172CC" w:rsidRDefault="00FF7003" w:rsidP="00FF7003"/>
        </w:tc>
        <w:tc>
          <w:tcPr>
            <w:tcW w:w="792" w:type="dxa"/>
            <w:vAlign w:val="center"/>
          </w:tcPr>
          <w:p w14:paraId="5E166674" w14:textId="77777777" w:rsidR="00FF7003" w:rsidRPr="00A172CC" w:rsidRDefault="00FF7003" w:rsidP="00FF7003"/>
        </w:tc>
      </w:tr>
      <w:tr w:rsidR="00FF7003" w:rsidRPr="00A172CC" w14:paraId="45530C77" w14:textId="77777777" w:rsidTr="00FF7003">
        <w:trPr>
          <w:trHeight w:hRule="exact" w:val="397"/>
        </w:trPr>
        <w:tc>
          <w:tcPr>
            <w:tcW w:w="4208" w:type="dxa"/>
            <w:vAlign w:val="center"/>
          </w:tcPr>
          <w:p w14:paraId="78466C26" w14:textId="77777777" w:rsidR="00FF7003" w:rsidRPr="00A172CC" w:rsidRDefault="00FF7003" w:rsidP="00FF7003">
            <w:pPr>
              <w:rPr>
                <w:highlight w:val="yellow"/>
              </w:rPr>
            </w:pPr>
            <w:r w:rsidRPr="00A172CC">
              <w:t>Roman Law (Delict)</w:t>
            </w:r>
          </w:p>
        </w:tc>
        <w:tc>
          <w:tcPr>
            <w:tcW w:w="1001" w:type="dxa"/>
            <w:vAlign w:val="center"/>
          </w:tcPr>
          <w:p w14:paraId="40AFEE62" w14:textId="42DDCC36" w:rsidR="00FF7003" w:rsidRPr="00A172CC" w:rsidRDefault="00364804" w:rsidP="00FF7003">
            <w:r>
              <w:t>16</w:t>
            </w:r>
          </w:p>
        </w:tc>
        <w:tc>
          <w:tcPr>
            <w:tcW w:w="791" w:type="dxa"/>
            <w:vAlign w:val="center"/>
          </w:tcPr>
          <w:p w14:paraId="3858F3C1" w14:textId="77777777" w:rsidR="00FF7003" w:rsidRPr="00A172CC" w:rsidRDefault="00FF7003" w:rsidP="00FF7003"/>
        </w:tc>
        <w:tc>
          <w:tcPr>
            <w:tcW w:w="792" w:type="dxa"/>
            <w:vAlign w:val="center"/>
          </w:tcPr>
          <w:p w14:paraId="478BF7E6" w14:textId="29013F9E" w:rsidR="00FF7003" w:rsidRPr="00A172CC" w:rsidRDefault="009067F4" w:rsidP="00FF7003">
            <w:r>
              <w:t>6</w:t>
            </w:r>
          </w:p>
        </w:tc>
        <w:tc>
          <w:tcPr>
            <w:tcW w:w="791" w:type="dxa"/>
            <w:vAlign w:val="center"/>
          </w:tcPr>
          <w:p w14:paraId="5FB202A7" w14:textId="1DA6196B" w:rsidR="00FF7003" w:rsidRPr="00A172CC" w:rsidRDefault="009067F4" w:rsidP="00FF7003">
            <w:r>
              <w:t>31</w:t>
            </w:r>
          </w:p>
        </w:tc>
        <w:tc>
          <w:tcPr>
            <w:tcW w:w="792" w:type="dxa"/>
            <w:vAlign w:val="center"/>
          </w:tcPr>
          <w:p w14:paraId="4B1CA12D" w14:textId="6871C5E4" w:rsidR="00FF7003" w:rsidRPr="00A172CC" w:rsidRDefault="009067F4" w:rsidP="00FF7003">
            <w:r>
              <w:t>13</w:t>
            </w:r>
          </w:p>
        </w:tc>
        <w:tc>
          <w:tcPr>
            <w:tcW w:w="791" w:type="dxa"/>
            <w:vAlign w:val="center"/>
          </w:tcPr>
          <w:p w14:paraId="24601364" w14:textId="61E493CC" w:rsidR="00FF7003" w:rsidRPr="00A172CC" w:rsidRDefault="009067F4" w:rsidP="00FF7003">
            <w:r>
              <w:t>31</w:t>
            </w:r>
          </w:p>
        </w:tc>
        <w:tc>
          <w:tcPr>
            <w:tcW w:w="792" w:type="dxa"/>
            <w:vAlign w:val="center"/>
          </w:tcPr>
          <w:p w14:paraId="14D4A737" w14:textId="27BE203E" w:rsidR="00FF7003" w:rsidRPr="00A172CC" w:rsidRDefault="009067F4" w:rsidP="00FF7003">
            <w:r>
              <w:t>19</w:t>
            </w:r>
          </w:p>
        </w:tc>
        <w:tc>
          <w:tcPr>
            <w:tcW w:w="791" w:type="dxa"/>
            <w:vAlign w:val="center"/>
          </w:tcPr>
          <w:p w14:paraId="3D1FB230" w14:textId="77777777" w:rsidR="00FF7003" w:rsidRPr="00A172CC" w:rsidRDefault="00FF7003" w:rsidP="00FF7003"/>
        </w:tc>
        <w:tc>
          <w:tcPr>
            <w:tcW w:w="792" w:type="dxa"/>
            <w:vAlign w:val="center"/>
          </w:tcPr>
          <w:p w14:paraId="0403A0AD" w14:textId="77777777" w:rsidR="00FF7003" w:rsidRPr="00A172CC" w:rsidRDefault="00FF7003" w:rsidP="00FF7003"/>
        </w:tc>
        <w:tc>
          <w:tcPr>
            <w:tcW w:w="791" w:type="dxa"/>
            <w:vAlign w:val="center"/>
          </w:tcPr>
          <w:p w14:paraId="1A37BA08" w14:textId="77777777" w:rsidR="00FF7003" w:rsidRPr="00A172CC" w:rsidRDefault="00FF7003" w:rsidP="00FF7003"/>
        </w:tc>
        <w:tc>
          <w:tcPr>
            <w:tcW w:w="792" w:type="dxa"/>
            <w:vAlign w:val="center"/>
          </w:tcPr>
          <w:p w14:paraId="66E88CAF" w14:textId="77777777" w:rsidR="00FF7003" w:rsidRPr="00A172CC" w:rsidRDefault="00FF7003" w:rsidP="00FF7003"/>
        </w:tc>
        <w:tc>
          <w:tcPr>
            <w:tcW w:w="791" w:type="dxa"/>
            <w:vAlign w:val="center"/>
          </w:tcPr>
          <w:p w14:paraId="026A163B" w14:textId="77777777" w:rsidR="00FF7003" w:rsidRPr="00A172CC" w:rsidRDefault="00FF7003" w:rsidP="00FF7003"/>
        </w:tc>
        <w:tc>
          <w:tcPr>
            <w:tcW w:w="792" w:type="dxa"/>
            <w:vAlign w:val="center"/>
          </w:tcPr>
          <w:p w14:paraId="3AE38431" w14:textId="77777777" w:rsidR="00FF7003" w:rsidRPr="00A172CC" w:rsidRDefault="00FF7003" w:rsidP="00FF7003"/>
        </w:tc>
      </w:tr>
      <w:tr w:rsidR="00FF7003" w:rsidRPr="00A172CC" w14:paraId="37809650" w14:textId="77777777" w:rsidTr="00FF7003">
        <w:trPr>
          <w:trHeight w:hRule="exact" w:val="397"/>
        </w:trPr>
        <w:tc>
          <w:tcPr>
            <w:tcW w:w="4208" w:type="dxa"/>
            <w:vAlign w:val="center"/>
          </w:tcPr>
          <w:p w14:paraId="1E1218B5" w14:textId="77777777" w:rsidR="00FF7003" w:rsidRPr="00A172CC" w:rsidRDefault="00FF7003" w:rsidP="00FF7003">
            <w:pPr>
              <w:rPr>
                <w:highlight w:val="yellow"/>
              </w:rPr>
            </w:pPr>
            <w:r w:rsidRPr="00A172CC">
              <w:t>Taxation Law</w:t>
            </w:r>
          </w:p>
        </w:tc>
        <w:tc>
          <w:tcPr>
            <w:tcW w:w="1001" w:type="dxa"/>
            <w:vAlign w:val="center"/>
          </w:tcPr>
          <w:p w14:paraId="374AABAD" w14:textId="29010806" w:rsidR="00FF7003" w:rsidRPr="00A172CC" w:rsidRDefault="009067F4" w:rsidP="00FF7003">
            <w:r>
              <w:t>17</w:t>
            </w:r>
          </w:p>
        </w:tc>
        <w:tc>
          <w:tcPr>
            <w:tcW w:w="791" w:type="dxa"/>
            <w:vAlign w:val="center"/>
          </w:tcPr>
          <w:p w14:paraId="46A8D01B" w14:textId="77777777" w:rsidR="00FF7003" w:rsidRPr="00A172CC" w:rsidRDefault="00FF7003" w:rsidP="00FF7003"/>
        </w:tc>
        <w:tc>
          <w:tcPr>
            <w:tcW w:w="792" w:type="dxa"/>
            <w:vAlign w:val="center"/>
          </w:tcPr>
          <w:p w14:paraId="554487DB" w14:textId="54CA1E8E" w:rsidR="00FF7003" w:rsidRPr="00A172CC" w:rsidRDefault="009067F4" w:rsidP="00FF7003">
            <w:r>
              <w:t>24</w:t>
            </w:r>
          </w:p>
        </w:tc>
        <w:tc>
          <w:tcPr>
            <w:tcW w:w="791" w:type="dxa"/>
            <w:vAlign w:val="center"/>
          </w:tcPr>
          <w:p w14:paraId="411CB38D" w14:textId="3A864EC7" w:rsidR="00FF7003" w:rsidRPr="00A172CC" w:rsidRDefault="009067F4" w:rsidP="00FF7003">
            <w:r>
              <w:t>17</w:t>
            </w:r>
          </w:p>
        </w:tc>
        <w:tc>
          <w:tcPr>
            <w:tcW w:w="792" w:type="dxa"/>
            <w:vAlign w:val="center"/>
          </w:tcPr>
          <w:p w14:paraId="0520FDA5" w14:textId="1901A81C" w:rsidR="00FF7003" w:rsidRPr="00A172CC" w:rsidRDefault="009067F4" w:rsidP="00FF7003">
            <w:r>
              <w:t>6</w:t>
            </w:r>
          </w:p>
        </w:tc>
        <w:tc>
          <w:tcPr>
            <w:tcW w:w="791" w:type="dxa"/>
            <w:vAlign w:val="center"/>
          </w:tcPr>
          <w:p w14:paraId="5DAF591D" w14:textId="20391174" w:rsidR="00FF7003" w:rsidRPr="00A172CC" w:rsidRDefault="009067F4" w:rsidP="00FF7003">
            <w:r>
              <w:t>24</w:t>
            </w:r>
          </w:p>
        </w:tc>
        <w:tc>
          <w:tcPr>
            <w:tcW w:w="792" w:type="dxa"/>
            <w:vAlign w:val="center"/>
          </w:tcPr>
          <w:p w14:paraId="2AFA93E4" w14:textId="7329AD09" w:rsidR="00FF7003" w:rsidRPr="00A172CC" w:rsidRDefault="009067F4" w:rsidP="00FF7003">
            <w:r>
              <w:t>17</w:t>
            </w:r>
          </w:p>
        </w:tc>
        <w:tc>
          <w:tcPr>
            <w:tcW w:w="791" w:type="dxa"/>
            <w:vAlign w:val="center"/>
          </w:tcPr>
          <w:p w14:paraId="6A0849F2" w14:textId="255F6DB2" w:rsidR="00FF7003" w:rsidRPr="00A172CC" w:rsidRDefault="009067F4" w:rsidP="00FF7003">
            <w:r>
              <w:t>6</w:t>
            </w:r>
          </w:p>
        </w:tc>
        <w:tc>
          <w:tcPr>
            <w:tcW w:w="792" w:type="dxa"/>
            <w:vAlign w:val="center"/>
          </w:tcPr>
          <w:p w14:paraId="5B09CAFD" w14:textId="77777777" w:rsidR="00FF7003" w:rsidRPr="00A172CC" w:rsidRDefault="00FF7003" w:rsidP="00FF7003"/>
        </w:tc>
        <w:tc>
          <w:tcPr>
            <w:tcW w:w="791" w:type="dxa"/>
            <w:vAlign w:val="center"/>
          </w:tcPr>
          <w:p w14:paraId="21BD3257" w14:textId="706FDB74" w:rsidR="00FF7003" w:rsidRPr="00A172CC" w:rsidRDefault="009067F4" w:rsidP="00FF7003">
            <w:r>
              <w:t>6</w:t>
            </w:r>
          </w:p>
        </w:tc>
        <w:tc>
          <w:tcPr>
            <w:tcW w:w="792" w:type="dxa"/>
            <w:vAlign w:val="center"/>
          </w:tcPr>
          <w:p w14:paraId="7240F2B1" w14:textId="77777777" w:rsidR="00FF7003" w:rsidRPr="00A172CC" w:rsidRDefault="00FF7003" w:rsidP="00FF7003"/>
        </w:tc>
        <w:tc>
          <w:tcPr>
            <w:tcW w:w="791" w:type="dxa"/>
            <w:vAlign w:val="center"/>
          </w:tcPr>
          <w:p w14:paraId="40AB6E41" w14:textId="77777777" w:rsidR="00FF7003" w:rsidRPr="00A172CC" w:rsidRDefault="00FF7003" w:rsidP="00FF7003"/>
        </w:tc>
        <w:tc>
          <w:tcPr>
            <w:tcW w:w="792" w:type="dxa"/>
            <w:vAlign w:val="center"/>
          </w:tcPr>
          <w:p w14:paraId="0BB19A7E" w14:textId="77777777" w:rsidR="00FF7003" w:rsidRPr="00A172CC" w:rsidRDefault="00FF7003" w:rsidP="00FF7003"/>
        </w:tc>
      </w:tr>
    </w:tbl>
    <w:p w14:paraId="66E123D7" w14:textId="69CA86BC" w:rsidR="00131FDC" w:rsidRDefault="00FF7003" w:rsidP="00FF7003">
      <w:pPr>
        <w:spacing w:after="0"/>
        <w:rPr>
          <w:rStyle w:val="Ref"/>
          <w:rFonts w:eastAsia="Calibri"/>
          <w:color w:val="000000"/>
          <w:szCs w:val="23"/>
        </w:rPr>
      </w:pPr>
      <w:r w:rsidRPr="004256D6">
        <w:rPr>
          <w:rStyle w:val="Ref"/>
          <w:rFonts w:eastAsia="Calibri"/>
          <w:color w:val="000000"/>
          <w:szCs w:val="23"/>
        </w:rPr>
        <w:t xml:space="preserve"> </w:t>
      </w:r>
    </w:p>
    <w:p w14:paraId="199FD867" w14:textId="243DB5CC" w:rsidR="00DD0ED1" w:rsidRDefault="00DD0ED1" w:rsidP="00FF7003">
      <w:pPr>
        <w:spacing w:after="0"/>
        <w:rPr>
          <w:rStyle w:val="Ref"/>
          <w:rFonts w:eastAsia="Calibri"/>
          <w:color w:val="000000"/>
          <w:szCs w:val="23"/>
        </w:rPr>
      </w:pPr>
    </w:p>
    <w:p w14:paraId="6E74066F" w14:textId="77777777" w:rsidR="00DD0ED1" w:rsidRPr="004256D6" w:rsidRDefault="00DD0ED1" w:rsidP="00FF7003">
      <w:pPr>
        <w:spacing w:after="0"/>
        <w:rPr>
          <w:rStyle w:val="Ref"/>
          <w:rFonts w:eastAsia="Calibri"/>
          <w:color w:val="000000"/>
          <w:szCs w:val="23"/>
        </w:rPr>
      </w:pPr>
    </w:p>
    <w:p w14:paraId="6628CEC9" w14:textId="77777777" w:rsidR="00131FDC" w:rsidRPr="004256D6" w:rsidRDefault="00131FDC" w:rsidP="00131FDC">
      <w:pPr>
        <w:spacing w:after="0"/>
        <w:rPr>
          <w:rStyle w:val="Ref"/>
          <w:rFonts w:eastAsia="Calibri"/>
          <w:color w:val="000000"/>
          <w:szCs w:val="23"/>
        </w:rPr>
      </w:pPr>
    </w:p>
    <w:p w14:paraId="38073E8A" w14:textId="77777777" w:rsidR="004757C4" w:rsidRDefault="004757C4" w:rsidP="00131FDC">
      <w:pPr>
        <w:spacing w:after="0"/>
        <w:rPr>
          <w:rStyle w:val="Ref"/>
          <w:rFonts w:eastAsia="Calibri"/>
          <w:b/>
          <w:caps/>
          <w:color w:val="000000"/>
          <w:szCs w:val="23"/>
        </w:rPr>
      </w:pPr>
    </w:p>
    <w:p w14:paraId="09C2F0EA" w14:textId="77777777" w:rsidR="004757C4" w:rsidRDefault="004757C4" w:rsidP="00131FDC">
      <w:pPr>
        <w:spacing w:after="0"/>
        <w:rPr>
          <w:rStyle w:val="Ref"/>
          <w:rFonts w:eastAsia="Calibri"/>
          <w:b/>
          <w:caps/>
          <w:color w:val="000000"/>
          <w:szCs w:val="23"/>
        </w:rPr>
      </w:pPr>
    </w:p>
    <w:p w14:paraId="3AB2C97C" w14:textId="77777777" w:rsidR="004757C4" w:rsidRDefault="004757C4" w:rsidP="00131FDC">
      <w:pPr>
        <w:spacing w:after="0"/>
        <w:rPr>
          <w:rStyle w:val="Ref"/>
          <w:rFonts w:eastAsia="Calibri"/>
          <w:b/>
          <w:caps/>
          <w:color w:val="000000"/>
          <w:szCs w:val="23"/>
        </w:rPr>
      </w:pPr>
    </w:p>
    <w:p w14:paraId="28236623" w14:textId="77777777" w:rsidR="004757C4" w:rsidRDefault="004757C4" w:rsidP="00131FDC">
      <w:pPr>
        <w:spacing w:after="0"/>
        <w:rPr>
          <w:rStyle w:val="Ref"/>
          <w:rFonts w:eastAsia="Calibri"/>
          <w:b/>
          <w:caps/>
          <w:color w:val="000000"/>
          <w:szCs w:val="23"/>
        </w:rPr>
      </w:pPr>
    </w:p>
    <w:p w14:paraId="5ADD66A0" w14:textId="77777777" w:rsidR="004757C4" w:rsidRDefault="004757C4" w:rsidP="00131FDC">
      <w:pPr>
        <w:spacing w:after="0"/>
        <w:rPr>
          <w:rStyle w:val="Ref"/>
          <w:rFonts w:eastAsia="Calibri"/>
          <w:b/>
          <w:caps/>
          <w:color w:val="000000"/>
          <w:szCs w:val="23"/>
        </w:rPr>
      </w:pPr>
    </w:p>
    <w:p w14:paraId="589F6904" w14:textId="77777777" w:rsidR="004757C4" w:rsidRDefault="004757C4" w:rsidP="00131FDC">
      <w:pPr>
        <w:spacing w:after="0"/>
        <w:rPr>
          <w:rStyle w:val="Ref"/>
          <w:rFonts w:eastAsia="Calibri"/>
          <w:b/>
          <w:caps/>
          <w:color w:val="000000"/>
          <w:szCs w:val="23"/>
        </w:rPr>
      </w:pPr>
    </w:p>
    <w:p w14:paraId="4691F380" w14:textId="1FDA4EB3" w:rsidR="00131FDC" w:rsidRDefault="00131FDC" w:rsidP="00131FDC">
      <w:pPr>
        <w:spacing w:after="0"/>
        <w:rPr>
          <w:rStyle w:val="Ref"/>
          <w:rFonts w:eastAsia="Calibri"/>
          <w:b/>
          <w:caps/>
          <w:color w:val="000000"/>
          <w:szCs w:val="23"/>
        </w:rPr>
      </w:pPr>
      <w:r w:rsidRPr="004256D6">
        <w:rPr>
          <w:rStyle w:val="Ref"/>
          <w:rFonts w:eastAsia="Calibri"/>
          <w:b/>
          <w:caps/>
          <w:color w:val="000000"/>
          <w:szCs w:val="23"/>
        </w:rPr>
        <w:lastRenderedPageBreak/>
        <w:t>D.</w:t>
      </w:r>
      <w:r w:rsidRPr="004256D6">
        <w:rPr>
          <w:rStyle w:val="Ref"/>
          <w:rFonts w:eastAsia="Calibri"/>
          <w:b/>
          <w:caps/>
          <w:color w:val="000000"/>
          <w:szCs w:val="23"/>
        </w:rPr>
        <w:tab/>
        <w:t>Comments on papers and individual questions</w:t>
      </w:r>
    </w:p>
    <w:p w14:paraId="1509E0A1" w14:textId="36FB2B6C" w:rsidR="00E41E60" w:rsidRDefault="00E41E60" w:rsidP="00131FDC">
      <w:pPr>
        <w:spacing w:after="0"/>
        <w:rPr>
          <w:rStyle w:val="Ref"/>
          <w:rFonts w:eastAsia="Calibri"/>
          <w:b/>
          <w:caps/>
          <w:color w:val="000000"/>
          <w:szCs w:val="23"/>
        </w:rPr>
      </w:pPr>
    </w:p>
    <w:p w14:paraId="5CBDAB25" w14:textId="0667330A" w:rsidR="00E41E60" w:rsidRPr="004256D6" w:rsidRDefault="00E41E60" w:rsidP="00131FDC">
      <w:pPr>
        <w:spacing w:after="0"/>
        <w:rPr>
          <w:rStyle w:val="Ref"/>
          <w:rFonts w:eastAsia="Calibri"/>
          <w:b/>
          <w:bCs/>
          <w:caps/>
          <w:color w:val="000000"/>
          <w:szCs w:val="23"/>
        </w:rPr>
      </w:pPr>
      <w:r>
        <w:rPr>
          <w:rStyle w:val="Ref"/>
          <w:rFonts w:eastAsia="Calibri"/>
          <w:b/>
          <w:caps/>
          <w:color w:val="000000"/>
          <w:szCs w:val="23"/>
        </w:rPr>
        <w:t>ADMINISTRATIVE LAW</w:t>
      </w:r>
    </w:p>
    <w:p w14:paraId="057112F0" w14:textId="77777777" w:rsidR="00E41E60" w:rsidRPr="00E41E60" w:rsidRDefault="00E41E60" w:rsidP="00E41E60">
      <w:pPr>
        <w:pStyle w:val="NormalWeb"/>
        <w:shd w:val="clear" w:color="auto" w:fill="FFFFFF"/>
        <w:spacing w:line="235" w:lineRule="atLeast"/>
        <w:jc w:val="both"/>
        <w:rPr>
          <w:rFonts w:ascii="Arial" w:hAnsi="Arial" w:cs="Arial"/>
          <w:color w:val="000000"/>
        </w:rPr>
      </w:pPr>
      <w:r>
        <w:rPr>
          <w:b/>
        </w:rPr>
        <w:br/>
      </w:r>
      <w:r w:rsidRPr="00E41E60">
        <w:rPr>
          <w:rFonts w:ascii="Arial" w:hAnsi="Arial" w:cs="Arial"/>
          <w:color w:val="000000"/>
        </w:rPr>
        <w:t>The overall standard of scripts was good. Most candidates understood the issues raised by the questions, demonstrated a sound understanding of the relevant case law and academic literature and offered clear, structured answers. There was, however, significant variation in the degree of precision with which candidates addressed the question. The strongest answers analysed the question carefully and drew on the relevant materials to offer clear and focused responses. In contrast, weaker scripts sometimes offered broad overviews of the relevant area of law or focused on tangential issues (which had perhaps been the focus of earlier tutorial essays).  As in previous years, it was important for candidates to be aware of recent developments in the case law and literature. </w:t>
      </w:r>
    </w:p>
    <w:p w14:paraId="5DF028E6" w14:textId="47BCE7BA" w:rsidR="00E41E60" w:rsidRPr="00E41E60" w:rsidRDefault="00E41E60" w:rsidP="00E41E60">
      <w:pPr>
        <w:pStyle w:val="NormalWeb"/>
        <w:shd w:val="clear" w:color="auto" w:fill="FFFFFF"/>
        <w:spacing w:line="235" w:lineRule="atLeast"/>
        <w:jc w:val="both"/>
        <w:rPr>
          <w:rFonts w:ascii="Arial" w:hAnsi="Arial" w:cs="Arial"/>
          <w:color w:val="000000"/>
        </w:rPr>
      </w:pPr>
      <w:r>
        <w:rPr>
          <w:rFonts w:ascii="Arial" w:hAnsi="Arial" w:cs="Arial"/>
          <w:color w:val="000000"/>
        </w:rPr>
        <w:br/>
      </w:r>
      <w:r w:rsidRPr="00E41E60">
        <w:rPr>
          <w:rFonts w:ascii="Arial" w:hAnsi="Arial" w:cs="Arial"/>
          <w:color w:val="000000"/>
        </w:rPr>
        <w:t>Many candidates produced answers which were very close to the upper word limit of 2,000 words. While many of the longer answers were good, in some cases they included discussion which was superfluous. Many of the strongest answers, furthermore, were somewhat shorter than 2,000 words. Candidates would do well to remember that word limits are not targets and that the most important thing is producing an answer which directly addresses the question.  </w:t>
      </w:r>
    </w:p>
    <w:p w14:paraId="615DE3BB" w14:textId="3512A755" w:rsidR="00E41E60" w:rsidRPr="00E41E60" w:rsidRDefault="00E41E60" w:rsidP="00E41E60">
      <w:pPr>
        <w:pStyle w:val="NormalWeb"/>
        <w:shd w:val="clear" w:color="auto" w:fill="FFFFFF"/>
        <w:spacing w:line="235" w:lineRule="atLeast"/>
        <w:jc w:val="both"/>
        <w:rPr>
          <w:rFonts w:ascii="Arial" w:hAnsi="Arial" w:cs="Arial"/>
          <w:color w:val="000000"/>
        </w:rPr>
      </w:pPr>
      <w:r>
        <w:rPr>
          <w:rFonts w:ascii="Arial" w:hAnsi="Arial" w:cs="Arial"/>
          <w:color w:val="000000"/>
        </w:rPr>
        <w:br/>
      </w:r>
      <w:r w:rsidRPr="00E41E60">
        <w:rPr>
          <w:rFonts w:ascii="Arial" w:hAnsi="Arial" w:cs="Arial"/>
          <w:color w:val="000000"/>
        </w:rPr>
        <w:t>Some questions were notably more popular than others. Questions 1 (constitutional foundations), 2 (review of discretion), 3 (legitimate expectations), 7b (standing), 8b (reasons) and 9 (error of law) attracted large numbers of answers. In contrast, questions 5 (tribunals), 6b (damages under the Human Rights Act) and 7a (judicial review procedure) attracted very few responses. </w:t>
      </w:r>
    </w:p>
    <w:p w14:paraId="510EE39C" w14:textId="77777777" w:rsidR="00E41E60" w:rsidRDefault="00E41E60" w:rsidP="00800942">
      <w:pPr>
        <w:rPr>
          <w:b/>
        </w:rPr>
      </w:pPr>
    </w:p>
    <w:p w14:paraId="19C46DBE" w14:textId="5D43EDA4" w:rsidR="002C08FC" w:rsidRDefault="002C08FC" w:rsidP="00800942">
      <w:pPr>
        <w:rPr>
          <w:b/>
        </w:rPr>
      </w:pPr>
      <w:r>
        <w:rPr>
          <w:b/>
        </w:rPr>
        <w:t>CIVIL DISPUTE RESOLUTION</w:t>
      </w:r>
    </w:p>
    <w:p w14:paraId="7082A93F" w14:textId="77777777" w:rsidR="002C08FC" w:rsidRDefault="002C08FC" w:rsidP="002C08FC">
      <w:pPr>
        <w:rPr>
          <w:rFonts w:asciiTheme="minorHAnsi" w:hAnsiTheme="minorHAnsi"/>
          <w:szCs w:val="22"/>
        </w:rPr>
      </w:pPr>
      <w:r>
        <w:t xml:space="preserve">There were only 4 students who sat the exam this year. Two students obtained first class honours and two students obtained strong 2is. 8 of the 10 questions were attempted. There were no answers to the PQ on disclosure, privilege and time limits or the history question. There were some very thoughtful answers on the subject of ADR, including on the legitimacy of prioritising ADR in certain types of disputes, in light of the use of non-disclosure agreements for sexual harassment and assault revealed by the </w:t>
      </w:r>
      <w:proofErr w:type="gramStart"/>
      <w:r>
        <w:t>me too</w:t>
      </w:r>
      <w:proofErr w:type="gramEnd"/>
      <w:r>
        <w:t xml:space="preserve"> movement. There were also strong answers on bias, costs, and the PQ on interim remedies, case management and apparent bias. The prize winner demonstrated not only an exceptional command of the material on the reading list but was able to persuasively incorporate primary and secondary materials from other FHS subjects including administrative law and jurisprudence.  </w:t>
      </w:r>
    </w:p>
    <w:p w14:paraId="06A1CE64" w14:textId="77777777" w:rsidR="002C08FC" w:rsidRDefault="002C08FC" w:rsidP="00800942">
      <w:pPr>
        <w:rPr>
          <w:b/>
        </w:rPr>
      </w:pPr>
    </w:p>
    <w:p w14:paraId="57FA0AC3" w14:textId="7687B1F9" w:rsidR="00800942" w:rsidRDefault="00800942" w:rsidP="00800942">
      <w:pPr>
        <w:rPr>
          <w:b/>
        </w:rPr>
      </w:pPr>
      <w:r>
        <w:rPr>
          <w:b/>
        </w:rPr>
        <w:t>COMPARATIVE PRIVATE LAW</w:t>
      </w:r>
    </w:p>
    <w:p w14:paraId="29092C36" w14:textId="3386DDDC" w:rsidR="00800942" w:rsidRDefault="00800942" w:rsidP="00800942">
      <w:r>
        <w:lastRenderedPageBreak/>
        <w:t xml:space="preserve">This was the third year that this course has been examined by the submission of extended essays. Having now experienced three different cohorts, the examiners feel confirmed in their initial assessment that the change of examination format has been a success and that it is very well-suited to assess a subject which inherently requires candidates to have both a broad (three different jurisdictions) and deep (contextual) understanding of the materials they have studied.  </w:t>
      </w:r>
    </w:p>
    <w:p w14:paraId="5FF1D81A" w14:textId="77777777" w:rsidR="00800942" w:rsidRDefault="00800942" w:rsidP="00800942">
      <w:r>
        <w:t xml:space="preserve">As in previous years, candidates had to choose one of three different questions relating ranging across the law of obligations (contracts and tort/delict) and property law. Half of the candidates opted for an </w:t>
      </w:r>
      <w:proofErr w:type="gramStart"/>
      <w:r>
        <w:t>obligations</w:t>
      </w:r>
      <w:proofErr w:type="gramEnd"/>
      <w:r>
        <w:t xml:space="preserve"> topic, the other half chose property law. The overall quality of the submitted work was good, with some truly outstanding essays. Given the relatively small number of candidates, the examiners do not think it appropriate to engage with </w:t>
      </w:r>
      <w:proofErr w:type="gramStart"/>
      <w:r>
        <w:t>particular points</w:t>
      </w:r>
      <w:proofErr w:type="gramEnd"/>
      <w:r>
        <w:t xml:space="preserve"> or questions, but instead want to highlight a few general themes and trends.   </w:t>
      </w:r>
    </w:p>
    <w:p w14:paraId="5BFC3808" w14:textId="77777777" w:rsidR="00800942" w:rsidRDefault="00800942" w:rsidP="00800942">
      <w:r>
        <w:t>Candidates chose a range of different approaches to tackle the material, and it is impossible to say that one approach was superior to another. What mattered was that essays engaged directly with the terms of the question set; developed the answer in a clear, coherent and well-structured way; made good use of the source material, referencing it appropriately; displayed a good overview of the problem under consideration within each of the three jurisdictions, yet at the same time managed to weave the discussion of the three systems into a lively and interesting comparative account; and extracted a thoughtful and meaningful conclusion from the comparison.</w:t>
      </w:r>
    </w:p>
    <w:p w14:paraId="0E479E0E" w14:textId="0CF57A0E" w:rsidR="004757C4" w:rsidRPr="004757C4" w:rsidRDefault="004757C4" w:rsidP="004757C4">
      <w:pPr>
        <w:rPr>
          <w:szCs w:val="22"/>
        </w:rPr>
      </w:pPr>
    </w:p>
    <w:p w14:paraId="47E4B2D5" w14:textId="77777777" w:rsidR="004757C4" w:rsidRPr="004757C4" w:rsidRDefault="004757C4" w:rsidP="004757C4">
      <w:pPr>
        <w:rPr>
          <w:rFonts w:ascii="Times New Roman" w:hAnsi="Times New Roman"/>
          <w:szCs w:val="22"/>
        </w:rPr>
      </w:pPr>
      <w:r w:rsidRPr="004757C4">
        <w:rPr>
          <w:b/>
          <w:bCs/>
          <w:szCs w:val="22"/>
        </w:rPr>
        <w:t>COMPETITION LAW AND POLICY</w:t>
      </w:r>
    </w:p>
    <w:p w14:paraId="56345D09" w14:textId="77777777" w:rsidR="004757C4" w:rsidRPr="004757C4" w:rsidRDefault="004757C4" w:rsidP="004757C4">
      <w:pPr>
        <w:jc w:val="both"/>
        <w:rPr>
          <w:szCs w:val="22"/>
        </w:rPr>
      </w:pPr>
      <w:r w:rsidRPr="004757C4">
        <w:rPr>
          <w:szCs w:val="22"/>
        </w:rPr>
        <w:t xml:space="preserve">The paper comprised eight questions of which four were essay questions and four problem questions. FHS and DLS candidates were asked to answer three questions including at least one problem question. This was the first year in which FHS students were asked to answer three (rather than four) questions. The change was introduced to enable FHS students to engage in more detailed analysis of the relevant policy and law. </w:t>
      </w:r>
    </w:p>
    <w:p w14:paraId="47BC56E2" w14:textId="77777777" w:rsidR="004757C4" w:rsidRPr="004757C4" w:rsidRDefault="004757C4" w:rsidP="004757C4">
      <w:pPr>
        <w:jc w:val="both"/>
        <w:rPr>
          <w:szCs w:val="22"/>
        </w:rPr>
      </w:pPr>
      <w:r w:rsidRPr="004757C4">
        <w:rPr>
          <w:szCs w:val="22"/>
        </w:rPr>
        <w:t xml:space="preserve">The first essay question required candidates to reflect on a quote drawn from the landmark judgement of the Court of Justice of the European Union in the case of Intel v Commission. This was a </w:t>
      </w:r>
      <w:proofErr w:type="gramStart"/>
      <w:r w:rsidRPr="004757C4">
        <w:rPr>
          <w:szCs w:val="22"/>
        </w:rPr>
        <w:t>fairly popular</w:t>
      </w:r>
      <w:proofErr w:type="gramEnd"/>
      <w:r w:rsidRPr="004757C4">
        <w:rPr>
          <w:szCs w:val="22"/>
        </w:rPr>
        <w:t xml:space="preserve"> question attempted by over a third of students. Answers were of a good standard with two candidates obtaining a mark of 70% or over. Amongst the remainder, the average mark obtained was 62%. </w:t>
      </w:r>
    </w:p>
    <w:p w14:paraId="74297F47" w14:textId="77777777" w:rsidR="004757C4" w:rsidRPr="004757C4" w:rsidRDefault="004757C4" w:rsidP="004757C4">
      <w:pPr>
        <w:jc w:val="both"/>
        <w:rPr>
          <w:szCs w:val="22"/>
        </w:rPr>
      </w:pPr>
      <w:r w:rsidRPr="004757C4">
        <w:rPr>
          <w:szCs w:val="22"/>
        </w:rPr>
        <w:t>The second essay question dealt with the timeless debate over the dividing line between “by-object” and “by-effects” restrictions of competition. Half of the students who submitted a script attempted this question. The average mark obtained was 66%, with two candidates reaching 70% or more.</w:t>
      </w:r>
    </w:p>
    <w:p w14:paraId="0CD75BDF" w14:textId="186C0FA2" w:rsidR="004757C4" w:rsidRPr="004757C4" w:rsidRDefault="004757C4" w:rsidP="004757C4">
      <w:pPr>
        <w:jc w:val="both"/>
        <w:rPr>
          <w:szCs w:val="22"/>
        </w:rPr>
      </w:pPr>
      <w:r w:rsidRPr="004757C4">
        <w:rPr>
          <w:szCs w:val="22"/>
        </w:rPr>
        <w:t xml:space="preserve">Question three required candidates to reflect on a quote from Advocate General </w:t>
      </w:r>
      <w:proofErr w:type="spellStart"/>
      <w:r w:rsidRPr="004757C4">
        <w:rPr>
          <w:szCs w:val="22"/>
        </w:rPr>
        <w:t>Darmon</w:t>
      </w:r>
      <w:proofErr w:type="spellEnd"/>
      <w:r w:rsidRPr="004757C4">
        <w:rPr>
          <w:szCs w:val="22"/>
        </w:rPr>
        <w:t xml:space="preserve">, which discussed another enduring controversy, namely that of price signalling and parallel conduct. </w:t>
      </w:r>
    </w:p>
    <w:p w14:paraId="4F1ABDBB" w14:textId="04A072BA" w:rsidR="004757C4" w:rsidRPr="004757C4" w:rsidRDefault="004757C4" w:rsidP="004757C4">
      <w:pPr>
        <w:jc w:val="both"/>
        <w:rPr>
          <w:szCs w:val="22"/>
        </w:rPr>
      </w:pPr>
      <w:r w:rsidRPr="004757C4">
        <w:rPr>
          <w:szCs w:val="22"/>
        </w:rPr>
        <w:lastRenderedPageBreak/>
        <w:t>In question four, candidates were given the opportunity to reflect on the goals of European competition law. This was another unpopular question.</w:t>
      </w:r>
    </w:p>
    <w:p w14:paraId="695C864D" w14:textId="77777777" w:rsidR="004757C4" w:rsidRPr="004757C4" w:rsidRDefault="004757C4" w:rsidP="004757C4">
      <w:pPr>
        <w:jc w:val="both"/>
        <w:rPr>
          <w:szCs w:val="22"/>
        </w:rPr>
      </w:pPr>
      <w:r w:rsidRPr="004757C4">
        <w:rPr>
          <w:szCs w:val="22"/>
        </w:rPr>
        <w:t xml:space="preserve">Problem questions focused on the application of Article 101 TFEU, Article 102 TFEU, the European Merger Regulation and the enforcement of competition law, with significant crossover in all four of the questions on offer. </w:t>
      </w:r>
    </w:p>
    <w:p w14:paraId="1A01688A" w14:textId="1A5DF7E1" w:rsidR="004757C4" w:rsidRPr="004757C4" w:rsidRDefault="004757C4" w:rsidP="004757C4">
      <w:pPr>
        <w:jc w:val="both"/>
        <w:rPr>
          <w:szCs w:val="22"/>
        </w:rPr>
      </w:pPr>
      <w:r w:rsidRPr="004757C4">
        <w:rPr>
          <w:szCs w:val="22"/>
        </w:rPr>
        <w:t xml:space="preserve">Question five contained a multitude of issues including whether there were undertakings involved, jurisdiction, several potential restrictions caught by Article 102 TFEU (predominantly), and Article 101 TFEU, as well as the lawfulness of various acts carried out by the European Commission. </w:t>
      </w:r>
      <w:proofErr w:type="gramStart"/>
      <w:r w:rsidRPr="004757C4">
        <w:rPr>
          <w:szCs w:val="22"/>
        </w:rPr>
        <w:t>On the whole</w:t>
      </w:r>
      <w:proofErr w:type="gramEnd"/>
      <w:r w:rsidRPr="004757C4">
        <w:rPr>
          <w:szCs w:val="22"/>
        </w:rPr>
        <w:t xml:space="preserve">, the eight students who attempted this question performed very strongly. The average mark obtained was 67. </w:t>
      </w:r>
    </w:p>
    <w:p w14:paraId="431439A5" w14:textId="77777777" w:rsidR="004757C4" w:rsidRPr="004757C4" w:rsidRDefault="004757C4" w:rsidP="004757C4">
      <w:pPr>
        <w:jc w:val="both"/>
        <w:rPr>
          <w:szCs w:val="22"/>
        </w:rPr>
      </w:pPr>
    </w:p>
    <w:p w14:paraId="79F43BAA" w14:textId="77777777" w:rsidR="004757C4" w:rsidRPr="004757C4" w:rsidRDefault="004757C4" w:rsidP="004757C4">
      <w:pPr>
        <w:jc w:val="both"/>
        <w:rPr>
          <w:szCs w:val="22"/>
        </w:rPr>
      </w:pPr>
      <w:r w:rsidRPr="004757C4">
        <w:rPr>
          <w:szCs w:val="22"/>
        </w:rPr>
        <w:t xml:space="preserve">Question six similarly cut across several areas of the course, with issues revolving around vertical restraints under Article 101 TFEU, pricing practices under Article 102, horizontal cooperation requiring interfacing between Article 101 TFEU and the European Merger Regulation, as well as the lawfulness of several actions taken in the context of a dawn raid. Thirteen students attempted this question, making it the most popular choice. The average mark overall was 65%, with three examinees obtaining a mark of 70% or above. </w:t>
      </w:r>
    </w:p>
    <w:p w14:paraId="4372F71D" w14:textId="77777777" w:rsidR="004757C4" w:rsidRPr="004757C4" w:rsidRDefault="004757C4" w:rsidP="004757C4">
      <w:pPr>
        <w:jc w:val="both"/>
        <w:rPr>
          <w:szCs w:val="22"/>
        </w:rPr>
      </w:pPr>
      <w:r w:rsidRPr="004757C4">
        <w:rPr>
          <w:szCs w:val="22"/>
        </w:rPr>
        <w:t>Question seven predominantly concerned issues in relation to horizontal cooperation under Article 101 TFEU and the European Merger Regulation. Overall, students performed strongly, averaging 66%. Of the seven candidates who attempted the question, three obtained a mark of 70% or above.</w:t>
      </w:r>
    </w:p>
    <w:p w14:paraId="1D5F624C" w14:textId="77777777" w:rsidR="004757C4" w:rsidRPr="004757C4" w:rsidRDefault="004757C4" w:rsidP="004757C4">
      <w:pPr>
        <w:jc w:val="both"/>
        <w:rPr>
          <w:szCs w:val="22"/>
        </w:rPr>
      </w:pPr>
      <w:r w:rsidRPr="004757C4">
        <w:rPr>
          <w:szCs w:val="22"/>
        </w:rPr>
        <w:t>Question eight dealt predominantly with issues relating to the European Merger Regulation and several pricing practices under Article 102 TFEU. The question was another very popular choice with half of the students who submitted a script attempting it. Performance-wise, the standard was once again very good with an overall average of 66%. Two candidates achieved marks of 70% or above.</w:t>
      </w:r>
    </w:p>
    <w:p w14:paraId="232A201E" w14:textId="77777777" w:rsidR="004757C4" w:rsidRPr="004757C4" w:rsidRDefault="004757C4" w:rsidP="004757C4">
      <w:pPr>
        <w:jc w:val="both"/>
        <w:rPr>
          <w:szCs w:val="22"/>
        </w:rPr>
      </w:pPr>
      <w:r w:rsidRPr="004757C4">
        <w:rPr>
          <w:szCs w:val="22"/>
        </w:rPr>
        <w:t xml:space="preserve">Twenty-three students were registered to sit the examination. Twenty-one papers were submitted for marking. </w:t>
      </w:r>
      <w:proofErr w:type="gramStart"/>
      <w:r w:rsidRPr="004757C4">
        <w:rPr>
          <w:szCs w:val="22"/>
        </w:rPr>
        <w:t>On the whole</w:t>
      </w:r>
      <w:proofErr w:type="gramEnd"/>
      <w:r w:rsidRPr="004757C4">
        <w:rPr>
          <w:szCs w:val="22"/>
        </w:rPr>
        <w:t>, the scripts showed a very good command of the subject and good analytical skills. Five candidates (24%) achieved an overall first-class mark in their exam.</w:t>
      </w:r>
    </w:p>
    <w:p w14:paraId="1733D39D" w14:textId="77777777" w:rsidR="004757C4" w:rsidRPr="004757C4" w:rsidRDefault="004757C4" w:rsidP="004757C4">
      <w:pPr>
        <w:jc w:val="both"/>
        <w:rPr>
          <w:szCs w:val="22"/>
        </w:rPr>
      </w:pPr>
      <w:r w:rsidRPr="004757C4">
        <w:rPr>
          <w:szCs w:val="22"/>
        </w:rPr>
        <w:t xml:space="preserve">As in previous years, students generally chose to spread their answers across both essay and problem questions, although there was a clear preference for the latter. First class answers generally displayed excellent grasp of the underlying material, evidenced by sustained references to case law and commentary, balanced with robust analytical engagement and creative reasoning. Weaker answers tended to miss important substantive issues, neglect critical </w:t>
      </w:r>
      <w:proofErr w:type="gramStart"/>
      <w:r w:rsidRPr="004757C4">
        <w:rPr>
          <w:szCs w:val="22"/>
        </w:rPr>
        <w:t>analysis</w:t>
      </w:r>
      <w:proofErr w:type="gramEnd"/>
      <w:r w:rsidRPr="004757C4">
        <w:rPr>
          <w:szCs w:val="22"/>
        </w:rPr>
        <w:t xml:space="preserve"> and misrepresent the relevant law.</w:t>
      </w:r>
    </w:p>
    <w:p w14:paraId="27CA6C8E" w14:textId="44129123" w:rsidR="002407D1" w:rsidRPr="002407D1" w:rsidRDefault="002407D1" w:rsidP="002407D1">
      <w:pPr>
        <w:jc w:val="both"/>
        <w:rPr>
          <w:rFonts w:cs="Arial"/>
          <w:b/>
          <w:bCs/>
        </w:rPr>
      </w:pPr>
      <w:r>
        <w:rPr>
          <w:rFonts w:cs="Arial"/>
          <w:b/>
          <w:bCs/>
        </w:rPr>
        <w:br/>
      </w:r>
      <w:r w:rsidRPr="002407D1">
        <w:rPr>
          <w:rFonts w:cs="Arial"/>
          <w:b/>
          <w:bCs/>
        </w:rPr>
        <w:t>CONTRACT LAW</w:t>
      </w:r>
    </w:p>
    <w:p w14:paraId="4F221AE1" w14:textId="711AAF77" w:rsidR="002407D1" w:rsidRPr="002407D1" w:rsidRDefault="002407D1" w:rsidP="002407D1">
      <w:pPr>
        <w:jc w:val="both"/>
        <w:rPr>
          <w:rFonts w:cs="Arial"/>
          <w:szCs w:val="22"/>
        </w:rPr>
      </w:pPr>
      <w:r w:rsidRPr="002407D1">
        <w:rPr>
          <w:rFonts w:cs="Arial"/>
        </w:rPr>
        <w:lastRenderedPageBreak/>
        <w:t xml:space="preserve">The examiners were struck by the excessive length of answers this year. Long answers were rarely to a candidate’s advantage. Many answers, especially at the top end, were diminished by the (unnecessary) recitation of general points – in the style of a textbook – which were not focused on the questions and by the inclusion of entirely irrelevant comments. Very long answers were also more likely to contain errors (of varying degrees of seriousness). In addition, the examiners were surprised by the number of candidates who chose not to discuss or, in some instances, even cite relevant cases on the Faculty’s case list; for some reason, several candidates thought it best to refer instead to cases which do not appear on the Faculty’s case list. Here too, this practice was rarely to a candidate’s advantage since the cases which appear on the Faculty’s case list are there for very good reasons. Furthermore, it was not always obvious that candidates had </w:t>
      </w:r>
      <w:proofErr w:type="gramStart"/>
      <w:r w:rsidRPr="002407D1">
        <w:rPr>
          <w:rFonts w:cs="Arial"/>
        </w:rPr>
        <w:t>actually read</w:t>
      </w:r>
      <w:proofErr w:type="gramEnd"/>
      <w:r w:rsidRPr="002407D1">
        <w:rPr>
          <w:rFonts w:cs="Arial"/>
        </w:rPr>
        <w:t xml:space="preserve"> the other cases which they cited. The examiners can expect candidates to have read the cases which they cite or to cite the secondary source in which such cases are used. This is a fundamental prerequisite of scholarship.</w:t>
      </w:r>
    </w:p>
    <w:p w14:paraId="6A6E1C87" w14:textId="77777777" w:rsidR="002407D1" w:rsidRPr="002407D1" w:rsidRDefault="002407D1" w:rsidP="002407D1">
      <w:pPr>
        <w:jc w:val="both"/>
        <w:rPr>
          <w:rFonts w:cs="Arial"/>
        </w:rPr>
      </w:pPr>
      <w:r w:rsidRPr="002407D1">
        <w:rPr>
          <w:rFonts w:cs="Arial"/>
        </w:rPr>
        <w:t xml:space="preserve">The best answers to essay questions and problem questions paid close attention to the relevant issues and discussed the relevant law accurately, </w:t>
      </w:r>
      <w:proofErr w:type="gramStart"/>
      <w:r w:rsidRPr="002407D1">
        <w:rPr>
          <w:rFonts w:cs="Arial"/>
        </w:rPr>
        <w:t>precisely</w:t>
      </w:r>
      <w:proofErr w:type="gramEnd"/>
      <w:r w:rsidRPr="002407D1">
        <w:rPr>
          <w:rFonts w:cs="Arial"/>
        </w:rPr>
        <w:t xml:space="preserve"> and comprehensively and evaluated it where the rules were uncertain or controversial. The best essays answered the specific question which was asked and contained a clear thesis which was outlined at the beginning and substantiated throughout.</w:t>
      </w:r>
    </w:p>
    <w:p w14:paraId="1D494B60" w14:textId="77777777" w:rsidR="002407D1" w:rsidRPr="002407D1" w:rsidRDefault="002407D1" w:rsidP="002407D1">
      <w:pPr>
        <w:jc w:val="both"/>
        <w:rPr>
          <w:rFonts w:cs="Arial"/>
        </w:rPr>
      </w:pPr>
    </w:p>
    <w:p w14:paraId="1FDD5DAC" w14:textId="77777777" w:rsidR="002407D1" w:rsidRPr="002407D1" w:rsidRDefault="002407D1" w:rsidP="002407D1">
      <w:pPr>
        <w:jc w:val="both"/>
        <w:rPr>
          <w:rFonts w:cs="Arial"/>
        </w:rPr>
      </w:pPr>
      <w:r w:rsidRPr="002407D1">
        <w:rPr>
          <w:rFonts w:cs="Arial"/>
        </w:rPr>
        <w:t>Question 1:</w:t>
      </w:r>
    </w:p>
    <w:p w14:paraId="0A5F4104" w14:textId="77777777" w:rsidR="002407D1" w:rsidRPr="002407D1" w:rsidRDefault="002407D1" w:rsidP="002407D1">
      <w:pPr>
        <w:jc w:val="both"/>
        <w:rPr>
          <w:rFonts w:cs="Arial"/>
        </w:rPr>
      </w:pPr>
      <w:r w:rsidRPr="002407D1">
        <w:rPr>
          <w:rFonts w:cs="Arial"/>
        </w:rPr>
        <w:t>This question was reasonably popular. The examiners expected candidates to refer to and think critically about the relevant arguments outlined in the key cases on offer and acceptance. Some candidates who argued in favour of abolition struggled to address satisfactorily the second half of the question. Without a good grasp of the advantages of the postal rule, it was difficult to see what exactly might need to be replaced.</w:t>
      </w:r>
    </w:p>
    <w:p w14:paraId="5F72FCDD" w14:textId="77777777" w:rsidR="002407D1" w:rsidRPr="002407D1" w:rsidRDefault="002407D1" w:rsidP="002407D1">
      <w:pPr>
        <w:jc w:val="both"/>
        <w:rPr>
          <w:rFonts w:cs="Arial"/>
        </w:rPr>
      </w:pPr>
      <w:r w:rsidRPr="002407D1">
        <w:rPr>
          <w:rFonts w:cs="Arial"/>
        </w:rPr>
        <w:t>Question 2:</w:t>
      </w:r>
    </w:p>
    <w:p w14:paraId="595B9522" w14:textId="77777777" w:rsidR="002407D1" w:rsidRPr="002407D1" w:rsidRDefault="002407D1" w:rsidP="002407D1">
      <w:pPr>
        <w:jc w:val="both"/>
        <w:rPr>
          <w:rFonts w:cs="Arial"/>
        </w:rPr>
      </w:pPr>
      <w:r w:rsidRPr="002407D1">
        <w:rPr>
          <w:rFonts w:cs="Arial"/>
        </w:rPr>
        <w:t xml:space="preserve">This question was very popular. The strongest answers assessed the most recent developments and focused on the term ‘meaningful’. The examiners were surprised to find that implied terms in law were omitted entirely or marginalised for no convincing reason in some answers. </w:t>
      </w:r>
    </w:p>
    <w:p w14:paraId="0EFD477B" w14:textId="77777777" w:rsidR="002407D1" w:rsidRPr="002407D1" w:rsidRDefault="002407D1" w:rsidP="002407D1">
      <w:pPr>
        <w:jc w:val="both"/>
        <w:rPr>
          <w:rFonts w:cs="Arial"/>
        </w:rPr>
      </w:pPr>
      <w:r w:rsidRPr="002407D1">
        <w:rPr>
          <w:rFonts w:cs="Arial"/>
        </w:rPr>
        <w:t>Question 3:</w:t>
      </w:r>
    </w:p>
    <w:p w14:paraId="25ABEAB0" w14:textId="77777777" w:rsidR="002407D1" w:rsidRPr="002407D1" w:rsidRDefault="002407D1" w:rsidP="002407D1">
      <w:pPr>
        <w:jc w:val="both"/>
        <w:rPr>
          <w:rFonts w:cs="Arial"/>
        </w:rPr>
      </w:pPr>
      <w:r w:rsidRPr="002407D1">
        <w:rPr>
          <w:rFonts w:cs="Arial"/>
        </w:rPr>
        <w:t xml:space="preserve">This question attracted few </w:t>
      </w:r>
      <w:proofErr w:type="gramStart"/>
      <w:r w:rsidRPr="002407D1">
        <w:rPr>
          <w:rFonts w:cs="Arial"/>
        </w:rPr>
        <w:t>candidates</w:t>
      </w:r>
      <w:proofErr w:type="gramEnd"/>
      <w:r w:rsidRPr="002407D1">
        <w:rPr>
          <w:rFonts w:cs="Arial"/>
        </w:rPr>
        <w:t xml:space="preserve"> but the answers were generally very good. The most impressive answers engaged in a close analysis of the terms in the question and assessed the impact of </w:t>
      </w:r>
      <w:proofErr w:type="spellStart"/>
      <w:r w:rsidRPr="002407D1">
        <w:rPr>
          <w:rFonts w:cs="Arial"/>
          <w:i/>
          <w:iCs/>
        </w:rPr>
        <w:t>Makdessi</w:t>
      </w:r>
      <w:proofErr w:type="spellEnd"/>
      <w:r w:rsidRPr="002407D1">
        <w:rPr>
          <w:rFonts w:cs="Arial"/>
        </w:rPr>
        <w:t xml:space="preserve"> with critical acumen. The examiners were pleased to see that candidates generally addressed both parts of the question adequately.</w:t>
      </w:r>
    </w:p>
    <w:p w14:paraId="5F6C60AC" w14:textId="77777777" w:rsidR="002407D1" w:rsidRPr="002407D1" w:rsidRDefault="002407D1" w:rsidP="002407D1">
      <w:pPr>
        <w:jc w:val="both"/>
        <w:rPr>
          <w:rFonts w:cs="Arial"/>
        </w:rPr>
      </w:pPr>
      <w:r w:rsidRPr="002407D1">
        <w:rPr>
          <w:rFonts w:cs="Arial"/>
        </w:rPr>
        <w:t>Question 4:</w:t>
      </w:r>
    </w:p>
    <w:p w14:paraId="5BC58EB5" w14:textId="77777777" w:rsidR="002407D1" w:rsidRPr="002407D1" w:rsidRDefault="002407D1" w:rsidP="002407D1">
      <w:pPr>
        <w:jc w:val="both"/>
        <w:rPr>
          <w:rFonts w:cs="Arial"/>
        </w:rPr>
      </w:pPr>
      <w:r w:rsidRPr="002407D1">
        <w:rPr>
          <w:rFonts w:cs="Arial"/>
        </w:rPr>
        <w:lastRenderedPageBreak/>
        <w:t>The very few candidates who answered this question were generally able to address the uncertainty of the test in UCTA, although some failed to give convincing examples from the cases. The second part of the question was sometimes overlooked or addressed only in a cursory way.</w:t>
      </w:r>
    </w:p>
    <w:p w14:paraId="77B4FE4E" w14:textId="77777777" w:rsidR="002407D1" w:rsidRPr="002407D1" w:rsidRDefault="002407D1" w:rsidP="002407D1">
      <w:pPr>
        <w:jc w:val="both"/>
        <w:rPr>
          <w:rFonts w:cs="Arial"/>
        </w:rPr>
      </w:pPr>
      <w:r w:rsidRPr="002407D1">
        <w:rPr>
          <w:rFonts w:cs="Arial"/>
        </w:rPr>
        <w:t>Question 5:</w:t>
      </w:r>
    </w:p>
    <w:p w14:paraId="758CE3E1" w14:textId="77777777" w:rsidR="002407D1" w:rsidRPr="002407D1" w:rsidRDefault="002407D1" w:rsidP="002407D1">
      <w:pPr>
        <w:jc w:val="both"/>
        <w:rPr>
          <w:rFonts w:cs="Arial"/>
        </w:rPr>
      </w:pPr>
      <w:r w:rsidRPr="002407D1">
        <w:rPr>
          <w:rFonts w:cs="Arial"/>
        </w:rPr>
        <w:t xml:space="preserve">This question was very </w:t>
      </w:r>
      <w:proofErr w:type="gramStart"/>
      <w:r w:rsidRPr="002407D1">
        <w:rPr>
          <w:rFonts w:cs="Arial"/>
        </w:rPr>
        <w:t>popular</w:t>
      </w:r>
      <w:proofErr w:type="gramEnd"/>
      <w:r w:rsidRPr="002407D1">
        <w:rPr>
          <w:rFonts w:cs="Arial"/>
        </w:rPr>
        <w:t xml:space="preserve"> but the answers were variable in quality. Weaker answers focused almost exclusively on consideration at the expense of estoppel or, more rarely, </w:t>
      </w:r>
      <w:r w:rsidRPr="002407D1">
        <w:rPr>
          <w:rFonts w:cs="Arial"/>
          <w:i/>
          <w:iCs/>
        </w:rPr>
        <w:t>vice versa</w:t>
      </w:r>
      <w:r w:rsidRPr="002407D1">
        <w:rPr>
          <w:rFonts w:cs="Arial"/>
        </w:rPr>
        <w:t xml:space="preserve">. Several candidates decided to treat the question as an invitation to talk only and generally about cases on part payment of debt; in some instances, even that was not done comprehensively. Equally problematic was the omission of </w:t>
      </w:r>
      <w:r w:rsidRPr="002407D1">
        <w:rPr>
          <w:rFonts w:cs="Arial"/>
          <w:i/>
          <w:iCs/>
        </w:rPr>
        <w:t>MWB</w:t>
      </w:r>
      <w:r w:rsidRPr="002407D1">
        <w:rPr>
          <w:rFonts w:cs="Arial"/>
        </w:rPr>
        <w:t xml:space="preserve"> or the inability to discuss accurately this leading case. The best answers avoided these problems and often integrated effectively – and examined critically – theoretical arguments on this topic (developed by </w:t>
      </w:r>
      <w:proofErr w:type="spellStart"/>
      <w:r w:rsidRPr="002407D1">
        <w:rPr>
          <w:rFonts w:cs="Arial"/>
        </w:rPr>
        <w:t>Atiyah</w:t>
      </w:r>
      <w:proofErr w:type="spellEnd"/>
      <w:r w:rsidRPr="002407D1">
        <w:rPr>
          <w:rFonts w:cs="Arial"/>
        </w:rPr>
        <w:t xml:space="preserve"> in particular).</w:t>
      </w:r>
    </w:p>
    <w:p w14:paraId="1404C245" w14:textId="77777777" w:rsidR="002407D1" w:rsidRPr="002407D1" w:rsidRDefault="002407D1" w:rsidP="002407D1">
      <w:pPr>
        <w:jc w:val="both"/>
        <w:rPr>
          <w:rFonts w:cs="Arial"/>
        </w:rPr>
      </w:pPr>
      <w:r w:rsidRPr="002407D1">
        <w:rPr>
          <w:rFonts w:cs="Arial"/>
        </w:rPr>
        <w:t>Question 6:</w:t>
      </w:r>
    </w:p>
    <w:p w14:paraId="159D8D76" w14:textId="77777777" w:rsidR="002407D1" w:rsidRPr="002407D1" w:rsidRDefault="002407D1" w:rsidP="002407D1">
      <w:pPr>
        <w:jc w:val="both"/>
        <w:rPr>
          <w:rFonts w:cs="Arial"/>
        </w:rPr>
      </w:pPr>
      <w:r w:rsidRPr="002407D1">
        <w:rPr>
          <w:rFonts w:cs="Arial"/>
        </w:rPr>
        <w:t xml:space="preserve">This question was reasonably popular. There were some worrying errors in accounts of the law: for example, some candidates stated that any breach of contract justified termination while others said that only a breach of condition could lead to this outcome. </w:t>
      </w:r>
      <w:proofErr w:type="gramStart"/>
      <w:r w:rsidRPr="002407D1">
        <w:rPr>
          <w:rFonts w:cs="Arial"/>
        </w:rPr>
        <w:t>Similar to</w:t>
      </w:r>
      <w:proofErr w:type="gramEnd"/>
      <w:r w:rsidRPr="002407D1">
        <w:rPr>
          <w:rFonts w:cs="Arial"/>
        </w:rPr>
        <w:t xml:space="preserve"> other questions with descriptive and normative dimensions, the better the candidate’s knowledge of the arguments in the leading cases, the easier it was to write persuasively about what the law should be. </w:t>
      </w:r>
    </w:p>
    <w:p w14:paraId="76CC75FF" w14:textId="77777777" w:rsidR="002407D1" w:rsidRPr="002407D1" w:rsidRDefault="002407D1" w:rsidP="002407D1">
      <w:pPr>
        <w:jc w:val="both"/>
        <w:rPr>
          <w:rFonts w:cs="Arial"/>
        </w:rPr>
      </w:pPr>
      <w:r w:rsidRPr="002407D1">
        <w:rPr>
          <w:rFonts w:cs="Arial"/>
        </w:rPr>
        <w:t>Question 7:</w:t>
      </w:r>
    </w:p>
    <w:p w14:paraId="1CD7B272" w14:textId="77777777" w:rsidR="002407D1" w:rsidRPr="002407D1" w:rsidRDefault="002407D1" w:rsidP="002407D1">
      <w:pPr>
        <w:jc w:val="both"/>
        <w:rPr>
          <w:rFonts w:cs="Arial"/>
        </w:rPr>
      </w:pPr>
      <w:r w:rsidRPr="002407D1">
        <w:rPr>
          <w:rFonts w:cs="Arial"/>
        </w:rPr>
        <w:t>This question was very popular. The best answers explored all or some of the following issues: non-economic loss (</w:t>
      </w:r>
      <w:proofErr w:type="spellStart"/>
      <w:proofErr w:type="gramStart"/>
      <w:r w:rsidRPr="002407D1">
        <w:rPr>
          <w:rFonts w:cs="Arial"/>
        </w:rPr>
        <w:t>eg</w:t>
      </w:r>
      <w:proofErr w:type="spellEnd"/>
      <w:proofErr w:type="gramEnd"/>
      <w:r w:rsidRPr="002407D1">
        <w:rPr>
          <w:rFonts w:cs="Arial"/>
        </w:rPr>
        <w:t xml:space="preserve"> </w:t>
      </w:r>
      <w:r w:rsidRPr="002407D1">
        <w:rPr>
          <w:rFonts w:cs="Arial"/>
          <w:i/>
          <w:iCs/>
        </w:rPr>
        <w:t>Jarvis</w:t>
      </w:r>
      <w:r w:rsidRPr="002407D1">
        <w:rPr>
          <w:rFonts w:cs="Arial"/>
        </w:rPr>
        <w:t xml:space="preserve"> and </w:t>
      </w:r>
      <w:proofErr w:type="spellStart"/>
      <w:r w:rsidRPr="002407D1">
        <w:rPr>
          <w:rFonts w:cs="Arial"/>
          <w:i/>
          <w:iCs/>
        </w:rPr>
        <w:t>Ruxley</w:t>
      </w:r>
      <w:proofErr w:type="spellEnd"/>
      <w:r w:rsidRPr="002407D1">
        <w:rPr>
          <w:rFonts w:cs="Arial"/>
        </w:rPr>
        <w:t>), account of profits (</w:t>
      </w:r>
      <w:r w:rsidRPr="002407D1">
        <w:rPr>
          <w:rFonts w:cs="Arial"/>
          <w:i/>
          <w:iCs/>
        </w:rPr>
        <w:t>Blake</w:t>
      </w:r>
      <w:r w:rsidRPr="002407D1">
        <w:rPr>
          <w:rFonts w:cs="Arial"/>
        </w:rPr>
        <w:t>), reliance loss (</w:t>
      </w:r>
      <w:r w:rsidRPr="002407D1">
        <w:rPr>
          <w:rFonts w:cs="Arial"/>
          <w:i/>
          <w:iCs/>
        </w:rPr>
        <w:t>Anglia</w:t>
      </w:r>
      <w:r w:rsidRPr="002407D1">
        <w:rPr>
          <w:rFonts w:cs="Arial"/>
        </w:rPr>
        <w:t xml:space="preserve">/ </w:t>
      </w:r>
      <w:r w:rsidRPr="002407D1">
        <w:rPr>
          <w:rFonts w:cs="Arial"/>
          <w:i/>
          <w:iCs/>
        </w:rPr>
        <w:t>Omak</w:t>
      </w:r>
      <w:r w:rsidRPr="002407D1">
        <w:rPr>
          <w:rFonts w:cs="Arial"/>
        </w:rPr>
        <w:t>) and negotiating damages (</w:t>
      </w:r>
      <w:r w:rsidRPr="002407D1">
        <w:rPr>
          <w:rFonts w:cs="Arial"/>
          <w:i/>
          <w:iCs/>
        </w:rPr>
        <w:t>One Step</w:t>
      </w:r>
      <w:r w:rsidRPr="002407D1">
        <w:rPr>
          <w:rFonts w:cs="Arial"/>
        </w:rPr>
        <w:t xml:space="preserve">). Having noticed that </w:t>
      </w:r>
      <w:r w:rsidRPr="002407D1">
        <w:rPr>
          <w:rFonts w:cs="Arial"/>
          <w:i/>
          <w:iCs/>
        </w:rPr>
        <w:t xml:space="preserve">Robinson </w:t>
      </w:r>
      <w:r w:rsidRPr="002407D1">
        <w:rPr>
          <w:rFonts w:cs="Arial"/>
        </w:rPr>
        <w:t xml:space="preserve">was discussed in some of these cases, the best answers explored the extent to which, if at all, these heads of damages were </w:t>
      </w:r>
      <w:proofErr w:type="gramStart"/>
      <w:r w:rsidRPr="002407D1">
        <w:rPr>
          <w:rFonts w:cs="Arial"/>
        </w:rPr>
        <w:t>actually consistent</w:t>
      </w:r>
      <w:proofErr w:type="gramEnd"/>
      <w:r w:rsidRPr="002407D1">
        <w:rPr>
          <w:rFonts w:cs="Arial"/>
        </w:rPr>
        <w:t xml:space="preserve"> with the passage cited in the question. Credit was also given for appropriate discussion of limitations upon the recoverability of damages, including rules of mitigation and remoteness, alongside the central question of measure.</w:t>
      </w:r>
    </w:p>
    <w:p w14:paraId="168BB76E" w14:textId="77777777" w:rsidR="002407D1" w:rsidRPr="002407D1" w:rsidRDefault="002407D1" w:rsidP="002407D1">
      <w:pPr>
        <w:jc w:val="both"/>
        <w:rPr>
          <w:rFonts w:cs="Arial"/>
        </w:rPr>
      </w:pPr>
      <w:r w:rsidRPr="002407D1">
        <w:rPr>
          <w:rFonts w:cs="Arial"/>
        </w:rPr>
        <w:t>Question 8:</w:t>
      </w:r>
    </w:p>
    <w:p w14:paraId="0908A618" w14:textId="77777777" w:rsidR="002407D1" w:rsidRPr="002407D1" w:rsidRDefault="002407D1" w:rsidP="002407D1">
      <w:pPr>
        <w:jc w:val="both"/>
        <w:rPr>
          <w:rFonts w:cs="Arial"/>
          <w:b/>
          <w:bCs/>
        </w:rPr>
      </w:pPr>
      <w:r w:rsidRPr="002407D1">
        <w:rPr>
          <w:rFonts w:cs="Arial"/>
        </w:rPr>
        <w:t xml:space="preserve">This was the least popular problem question although there were, still, quite a few answers. Most candidates examined and applied the doctrines of unconscionable bargain and </w:t>
      </w:r>
      <w:proofErr w:type="spellStart"/>
      <w:r w:rsidRPr="002407D1">
        <w:rPr>
          <w:rFonts w:cs="Arial"/>
        </w:rPr>
        <w:t>non est</w:t>
      </w:r>
      <w:proofErr w:type="spellEnd"/>
      <w:r w:rsidRPr="002407D1">
        <w:rPr>
          <w:rFonts w:cs="Arial"/>
        </w:rPr>
        <w:t xml:space="preserve"> factum in the first half of the question. The strongest answers noted how the particular facts in the problem related to specific aspects of the reasoning in the leading cases on these doctrines. The second half of the question was generally not handled as satisfactorily as the first. Several answers discussed undue influence only or, more rarely, misrepresentation only. The examiners were perplexed by this trend since both doctrines are invoked in </w:t>
      </w:r>
      <w:proofErr w:type="spellStart"/>
      <w:r w:rsidRPr="002407D1">
        <w:rPr>
          <w:rFonts w:cs="Arial"/>
          <w:i/>
          <w:iCs/>
        </w:rPr>
        <w:t>Etridge</w:t>
      </w:r>
      <w:proofErr w:type="spellEnd"/>
      <w:r w:rsidRPr="002407D1">
        <w:rPr>
          <w:rFonts w:cs="Arial"/>
        </w:rPr>
        <w:t xml:space="preserve"> and </w:t>
      </w:r>
      <w:r w:rsidRPr="002407D1">
        <w:rPr>
          <w:rFonts w:cs="Arial"/>
          <w:i/>
          <w:iCs/>
        </w:rPr>
        <w:t>O’Brien</w:t>
      </w:r>
      <w:r w:rsidRPr="002407D1">
        <w:rPr>
          <w:rFonts w:cs="Arial"/>
        </w:rPr>
        <w:t xml:space="preserve">, the seminal cases. With respect to undue influence, the discussion </w:t>
      </w:r>
      <w:r w:rsidRPr="002407D1">
        <w:rPr>
          <w:rFonts w:cs="Arial"/>
        </w:rPr>
        <w:lastRenderedPageBreak/>
        <w:t xml:space="preserve">of the law was not always sufficiently accurate and precise. Candidates also needed to consider whether the bank was put on inquiry and if so, whether reasonable steps were taken. An inadequate grasp of </w:t>
      </w:r>
      <w:proofErr w:type="spellStart"/>
      <w:r w:rsidRPr="002407D1">
        <w:rPr>
          <w:rFonts w:cs="Arial"/>
          <w:i/>
          <w:iCs/>
        </w:rPr>
        <w:t>Etridge</w:t>
      </w:r>
      <w:proofErr w:type="spellEnd"/>
      <w:r w:rsidRPr="002407D1">
        <w:rPr>
          <w:rFonts w:cs="Arial"/>
        </w:rPr>
        <w:t xml:space="preserve"> sometimes precluded a satisfactory answer to this part of the question. </w:t>
      </w:r>
    </w:p>
    <w:p w14:paraId="31131127" w14:textId="77777777" w:rsidR="002407D1" w:rsidRPr="002407D1" w:rsidRDefault="002407D1" w:rsidP="002407D1">
      <w:pPr>
        <w:jc w:val="both"/>
        <w:rPr>
          <w:rFonts w:cs="Arial"/>
        </w:rPr>
      </w:pPr>
      <w:r w:rsidRPr="002407D1">
        <w:rPr>
          <w:rFonts w:cs="Arial"/>
        </w:rPr>
        <w:t>Question 9:</w:t>
      </w:r>
    </w:p>
    <w:p w14:paraId="4385E407" w14:textId="77777777" w:rsidR="002407D1" w:rsidRPr="002407D1" w:rsidRDefault="002407D1" w:rsidP="002407D1">
      <w:pPr>
        <w:jc w:val="both"/>
        <w:rPr>
          <w:rFonts w:cs="Arial"/>
        </w:rPr>
      </w:pPr>
      <w:r w:rsidRPr="002407D1">
        <w:rPr>
          <w:rFonts w:cs="Arial"/>
        </w:rPr>
        <w:t xml:space="preserve">This question was reasonably popular. The examiners were surprised to see that several candidates thought that the presumption against an intention to create legal relations applies within families only. The case of </w:t>
      </w:r>
      <w:r w:rsidRPr="002407D1">
        <w:rPr>
          <w:rFonts w:cs="Arial"/>
          <w:i/>
          <w:iCs/>
        </w:rPr>
        <w:t>Blue v Ashley</w:t>
      </w:r>
      <w:r w:rsidRPr="002407D1">
        <w:rPr>
          <w:rFonts w:cs="Arial"/>
        </w:rPr>
        <w:t xml:space="preserve"> – on the Faculty’s reading list – ought firmly to have disabused candidates of such a notion. Most candidates considered and applied sections 1 and 2 of the 1999 Act. The best answers explored how the terms ‘assent’ and ‘relied’ ought to be interpreted by reference to cases on the 1999 Act and principles drawn from other areas of contract law. Few candidates noticed the significance of the laugh and the explicit reference to the statute for the discussion of intention to create legal relations. The issue of acceptance by silence was often addressed perfunctorily: candidates need to </w:t>
      </w:r>
      <w:proofErr w:type="gramStart"/>
      <w:r w:rsidRPr="002407D1">
        <w:rPr>
          <w:rFonts w:cs="Arial"/>
        </w:rPr>
        <w:t>consider carefully</w:t>
      </w:r>
      <w:proofErr w:type="gramEnd"/>
      <w:r w:rsidRPr="002407D1">
        <w:rPr>
          <w:rFonts w:cs="Arial"/>
        </w:rPr>
        <w:t xml:space="preserve"> the judgments in and, thus, the limits of </w:t>
      </w:r>
      <w:proofErr w:type="spellStart"/>
      <w:r w:rsidRPr="002407D1">
        <w:rPr>
          <w:rFonts w:cs="Arial"/>
          <w:i/>
          <w:iCs/>
        </w:rPr>
        <w:t>Felthouse</w:t>
      </w:r>
      <w:proofErr w:type="spellEnd"/>
      <w:r w:rsidRPr="002407D1">
        <w:rPr>
          <w:rFonts w:cs="Arial"/>
          <w:i/>
          <w:iCs/>
        </w:rPr>
        <w:t xml:space="preserve"> v Bindley</w:t>
      </w:r>
      <w:r w:rsidRPr="002407D1">
        <w:rPr>
          <w:rFonts w:cs="Arial"/>
        </w:rPr>
        <w:t>. The issue of certainty was generally handled well although several candidates thought that the contract might have been frustrated without having considered the logically prior question of whether there could even be a contract on the facts.</w:t>
      </w:r>
    </w:p>
    <w:p w14:paraId="7880D61E" w14:textId="77777777" w:rsidR="002407D1" w:rsidRPr="002407D1" w:rsidRDefault="002407D1" w:rsidP="002407D1">
      <w:pPr>
        <w:jc w:val="both"/>
        <w:rPr>
          <w:rFonts w:cs="Arial"/>
        </w:rPr>
      </w:pPr>
      <w:r w:rsidRPr="002407D1">
        <w:rPr>
          <w:rFonts w:cs="Arial"/>
        </w:rPr>
        <w:t>Question 10:</w:t>
      </w:r>
    </w:p>
    <w:p w14:paraId="01A3243B" w14:textId="77777777" w:rsidR="002407D1" w:rsidRPr="002407D1" w:rsidRDefault="002407D1" w:rsidP="002407D1">
      <w:pPr>
        <w:jc w:val="both"/>
        <w:rPr>
          <w:rFonts w:cs="Arial"/>
        </w:rPr>
      </w:pPr>
      <w:r w:rsidRPr="002407D1">
        <w:rPr>
          <w:rFonts w:cs="Arial"/>
        </w:rPr>
        <w:t xml:space="preserve">Many candidates attempted this question. There were a few excellent answers on the difficult – and largely unsettled – issues raised by unilateral contracts. The issue of intention to create legal relations was frequently omitted perhaps for the reason noted above in our comments on question 9. A surprisingly high number of candidates thought that the postal rule was relevant. With respect to revocation, most candidates identified the relevance of </w:t>
      </w:r>
      <w:r w:rsidRPr="002407D1">
        <w:rPr>
          <w:rFonts w:cs="Arial"/>
          <w:i/>
          <w:iCs/>
        </w:rPr>
        <w:t xml:space="preserve">Dickinson v </w:t>
      </w:r>
      <w:proofErr w:type="spellStart"/>
      <w:r w:rsidRPr="002407D1">
        <w:rPr>
          <w:rFonts w:cs="Arial"/>
          <w:i/>
          <w:iCs/>
        </w:rPr>
        <w:t>Dodds</w:t>
      </w:r>
      <w:proofErr w:type="spellEnd"/>
      <w:r w:rsidRPr="002407D1">
        <w:rPr>
          <w:rFonts w:cs="Arial"/>
        </w:rPr>
        <w:t xml:space="preserve"> but, oddly, many failed to state correctly and appraise the limits of this rule. A further common error was the failure to see that if there was a contract, the claim would be for the agreed sum rather than damages. Several candidates who went down the latter route made inaccurate assertions about what damages would be awarded. In contrast, the final part of the question, on mistake, was often well handled although a worryingly high number of candidates made the serious error of thinking that contracts are voidable on the ground of mistake of identity </w:t>
      </w:r>
      <w:proofErr w:type="gramStart"/>
      <w:r w:rsidRPr="002407D1">
        <w:rPr>
          <w:rFonts w:cs="Arial"/>
        </w:rPr>
        <w:t>i.e.</w:t>
      </w:r>
      <w:proofErr w:type="gramEnd"/>
      <w:r w:rsidRPr="002407D1">
        <w:rPr>
          <w:rFonts w:cs="Arial"/>
        </w:rPr>
        <w:t xml:space="preserve"> even when there is no misrepresentation.</w:t>
      </w:r>
    </w:p>
    <w:p w14:paraId="3BA2DCE3" w14:textId="77777777" w:rsidR="002407D1" w:rsidRPr="002407D1" w:rsidRDefault="002407D1" w:rsidP="002407D1">
      <w:pPr>
        <w:jc w:val="both"/>
        <w:rPr>
          <w:rFonts w:cs="Arial"/>
        </w:rPr>
      </w:pPr>
      <w:r w:rsidRPr="002407D1">
        <w:rPr>
          <w:rFonts w:cs="Arial"/>
        </w:rPr>
        <w:t>Question 11:</w:t>
      </w:r>
    </w:p>
    <w:p w14:paraId="7200C1AF" w14:textId="77777777" w:rsidR="002407D1" w:rsidRPr="002407D1" w:rsidRDefault="002407D1" w:rsidP="002407D1">
      <w:pPr>
        <w:jc w:val="both"/>
        <w:rPr>
          <w:rFonts w:cs="Arial"/>
        </w:rPr>
      </w:pPr>
      <w:r w:rsidRPr="002407D1">
        <w:rPr>
          <w:rFonts w:cs="Arial"/>
        </w:rPr>
        <w:t xml:space="preserve">This question was very popular. There were some excellent answers which identified and discussed in depth the specific points which were relevant. The most common weaknesses were the following: the failure to discuss section 2(1) of the 1967 Act, to discuss correctly the relationship between sections 2(1) and 2(2), to deal adequately with the exclusion clause and to engage accurately and meaningfully with the </w:t>
      </w:r>
      <w:proofErr w:type="gramStart"/>
      <w:r w:rsidRPr="002407D1">
        <w:rPr>
          <w:rFonts w:cs="Arial"/>
        </w:rPr>
        <w:t>counter-factual</w:t>
      </w:r>
      <w:proofErr w:type="gramEnd"/>
      <w:r w:rsidRPr="002407D1">
        <w:rPr>
          <w:rFonts w:cs="Arial"/>
        </w:rPr>
        <w:t xml:space="preserve">. Furthermore, many answers contained aimless discussions of what supposedly constituted ‘misrepresentation’ without reference to the particularities of the specific claims which could be brought. In addition, when considering certain types of loss (notably B being ‘very upset’), some candidates switched from tort to contract without realising that they had done so and thus without recognising that there would need to be </w:t>
      </w:r>
      <w:r w:rsidRPr="002407D1">
        <w:rPr>
          <w:rFonts w:cs="Arial"/>
        </w:rPr>
        <w:lastRenderedPageBreak/>
        <w:t xml:space="preserve">a claim for breach of contract (and that, in the case of distress, such loss is not recovered as a matter of course). The examiners were also surprised by the number of candidates who did not discuss any cases on section 3 of the 1967 Act. </w:t>
      </w:r>
    </w:p>
    <w:p w14:paraId="5A5F68C3" w14:textId="77777777" w:rsidR="002407D1" w:rsidRPr="002407D1" w:rsidRDefault="002407D1" w:rsidP="002407D1">
      <w:pPr>
        <w:jc w:val="both"/>
        <w:rPr>
          <w:rFonts w:cs="Arial"/>
        </w:rPr>
      </w:pPr>
      <w:r w:rsidRPr="002407D1">
        <w:rPr>
          <w:rFonts w:cs="Arial"/>
        </w:rPr>
        <w:t>Question 12:</w:t>
      </w:r>
    </w:p>
    <w:p w14:paraId="1942F7AE" w14:textId="77777777" w:rsidR="002407D1" w:rsidRDefault="002407D1" w:rsidP="002407D1">
      <w:pPr>
        <w:jc w:val="both"/>
        <w:rPr>
          <w:rFonts w:ascii="Christ Church" w:hAnsi="Christ Church"/>
        </w:rPr>
      </w:pPr>
      <w:r w:rsidRPr="002407D1">
        <w:rPr>
          <w:rFonts w:cs="Arial"/>
        </w:rPr>
        <w:t xml:space="preserve">This question on frustration, damages for breach and mistake was reasonably popular. Most candidates identified the need to discuss self-induced frustration. The weaker scripts failed to notice that if the contract for the transfer of the lorry was not frustrated, there would be a breach of contract and it would be necessary to consider the measure of damages. The examiners were surprised by the number of answers which failed to identify or </w:t>
      </w:r>
      <w:proofErr w:type="gramStart"/>
      <w:r w:rsidRPr="002407D1">
        <w:rPr>
          <w:rFonts w:cs="Arial"/>
        </w:rPr>
        <w:t>apply correctly</w:t>
      </w:r>
      <w:proofErr w:type="gramEnd"/>
      <w:r w:rsidRPr="002407D1">
        <w:rPr>
          <w:rFonts w:cs="Arial"/>
        </w:rPr>
        <w:t xml:space="preserve"> the relevant provisions of the 1943 Act. The best answers explored the meaning of the term ‘benefit’ </w:t>
      </w:r>
      <w:proofErr w:type="gramStart"/>
      <w:r w:rsidRPr="002407D1">
        <w:rPr>
          <w:rFonts w:cs="Arial"/>
        </w:rPr>
        <w:t>in light of</w:t>
      </w:r>
      <w:proofErr w:type="gramEnd"/>
      <w:r w:rsidRPr="002407D1">
        <w:rPr>
          <w:rFonts w:cs="Arial"/>
        </w:rPr>
        <w:t xml:space="preserve"> </w:t>
      </w:r>
      <w:r w:rsidRPr="002407D1">
        <w:rPr>
          <w:rFonts w:cs="Arial"/>
          <w:i/>
          <w:iCs/>
        </w:rPr>
        <w:t>BP v Hunt</w:t>
      </w:r>
      <w:r w:rsidRPr="002407D1">
        <w:rPr>
          <w:rFonts w:cs="Arial"/>
        </w:rPr>
        <w:t xml:space="preserve">. The final part of this problem question was generally handled less competently. The weakest candidates did not identify that the contract could be void on the ground of mistake. The very best candidates noticed the relevance of and </w:t>
      </w:r>
      <w:proofErr w:type="gramStart"/>
      <w:r w:rsidRPr="002407D1">
        <w:rPr>
          <w:rFonts w:cs="Arial"/>
        </w:rPr>
        <w:t>applied correctly</w:t>
      </w:r>
      <w:proofErr w:type="gramEnd"/>
      <w:r w:rsidRPr="002407D1">
        <w:rPr>
          <w:rFonts w:cs="Arial"/>
        </w:rPr>
        <w:t xml:space="preserve"> the doctrine of rectification</w:t>
      </w:r>
      <w:r>
        <w:rPr>
          <w:rFonts w:ascii="Christ Church" w:hAnsi="Christ Church"/>
        </w:rPr>
        <w:t>.</w:t>
      </w:r>
    </w:p>
    <w:p w14:paraId="525FD02C" w14:textId="77777777" w:rsidR="00F54CDA" w:rsidRPr="00F54CDA" w:rsidRDefault="00F54CDA" w:rsidP="00F54CDA">
      <w:pPr>
        <w:rPr>
          <w:rFonts w:cs="Arial"/>
          <w:color w:val="000000"/>
          <w:szCs w:val="22"/>
        </w:rPr>
      </w:pPr>
      <w:r>
        <w:rPr>
          <w:b/>
          <w:bCs/>
          <w:szCs w:val="22"/>
        </w:rPr>
        <w:t>CRIMINOLOGY AND CRIMINAL JUSTICE</w:t>
      </w:r>
      <w:r>
        <w:rPr>
          <w:b/>
          <w:bCs/>
          <w:szCs w:val="22"/>
        </w:rPr>
        <w:br/>
      </w:r>
      <w:r>
        <w:rPr>
          <w:b/>
          <w:bCs/>
          <w:szCs w:val="22"/>
        </w:rPr>
        <w:br/>
      </w:r>
      <w:r w:rsidRPr="00F54CDA">
        <w:rPr>
          <w:rFonts w:cs="Arial"/>
          <w:color w:val="000000"/>
          <w:szCs w:val="22"/>
        </w:rPr>
        <w:t xml:space="preserve">This year eighteen candidates took this paper, two of whom sat the DLS paper, answering three, rather than four questions. Eight papers were marked by the second assessor, representing the range of </w:t>
      </w:r>
      <w:proofErr w:type="gramStart"/>
      <w:r w:rsidRPr="00F54CDA">
        <w:rPr>
          <w:rFonts w:cs="Arial"/>
          <w:color w:val="000000"/>
          <w:szCs w:val="22"/>
        </w:rPr>
        <w:t>marks</w:t>
      </w:r>
      <w:proofErr w:type="gramEnd"/>
      <w:r w:rsidRPr="00F54CDA">
        <w:rPr>
          <w:rFonts w:cs="Arial"/>
          <w:color w:val="000000"/>
          <w:szCs w:val="22"/>
        </w:rPr>
        <w:t xml:space="preserve"> and including any borderline papers. The agreed marks ranged from 61% (low upper second class) </w:t>
      </w:r>
      <w:r w:rsidRPr="00F54CDA">
        <w:rPr>
          <w:rFonts w:cs="Arial"/>
          <w:szCs w:val="22"/>
        </w:rPr>
        <w:t>to 74</w:t>
      </w:r>
      <w:r w:rsidRPr="00F54CDA">
        <w:rPr>
          <w:rFonts w:cs="Arial"/>
          <w:color w:val="000000"/>
          <w:szCs w:val="22"/>
        </w:rPr>
        <w:t>% (first class), with 6 candidates’ marks at or above 70%. </w:t>
      </w:r>
    </w:p>
    <w:p w14:paraId="7005F3B7" w14:textId="77777777" w:rsidR="00F54CDA" w:rsidRPr="00F54CDA" w:rsidRDefault="00F54CDA" w:rsidP="00F54CDA">
      <w:pPr>
        <w:rPr>
          <w:rFonts w:cs="Arial"/>
          <w:color w:val="000000"/>
          <w:szCs w:val="22"/>
        </w:rPr>
      </w:pPr>
      <w:r w:rsidRPr="00F54CDA">
        <w:rPr>
          <w:rFonts w:cs="Arial"/>
          <w:color w:val="000000"/>
          <w:szCs w:val="22"/>
        </w:rPr>
        <w:t xml:space="preserve">The </w:t>
      </w:r>
      <w:proofErr w:type="gramStart"/>
      <w:r w:rsidRPr="00F54CDA">
        <w:rPr>
          <w:rFonts w:cs="Arial"/>
          <w:color w:val="000000"/>
          <w:szCs w:val="22"/>
        </w:rPr>
        <w:t>first class</w:t>
      </w:r>
      <w:proofErr w:type="gramEnd"/>
      <w:r w:rsidRPr="00F54CDA">
        <w:rPr>
          <w:rFonts w:cs="Arial"/>
          <w:color w:val="000000"/>
          <w:szCs w:val="22"/>
        </w:rPr>
        <w:t xml:space="preserve"> answers were well written, critically engaged with the academic literature, rather than simply describing it, and showed a good understanding of the theoretical perspectives underpinning arguments raised within the literature or by criminal justice professionals.</w:t>
      </w:r>
    </w:p>
    <w:p w14:paraId="1D5324F2" w14:textId="77777777" w:rsidR="00F54CDA" w:rsidRPr="00F54CDA" w:rsidRDefault="00F54CDA" w:rsidP="00F54CDA">
      <w:pPr>
        <w:rPr>
          <w:rFonts w:cs="Arial"/>
          <w:color w:val="000000"/>
          <w:szCs w:val="22"/>
        </w:rPr>
      </w:pPr>
      <w:r w:rsidRPr="00F54CDA">
        <w:rPr>
          <w:rFonts w:cs="Arial"/>
          <w:color w:val="000000"/>
          <w:szCs w:val="22"/>
        </w:rPr>
        <w:t xml:space="preserve">Those papers that were awarded an upper </w:t>
      </w:r>
      <w:proofErr w:type="gramStart"/>
      <w:r w:rsidRPr="00F54CDA">
        <w:rPr>
          <w:rFonts w:cs="Arial"/>
          <w:color w:val="000000"/>
          <w:szCs w:val="22"/>
        </w:rPr>
        <w:t>second class</w:t>
      </w:r>
      <w:proofErr w:type="gramEnd"/>
      <w:r w:rsidRPr="00F54CDA">
        <w:rPr>
          <w:rFonts w:cs="Arial"/>
          <w:color w:val="000000"/>
          <w:szCs w:val="22"/>
        </w:rPr>
        <w:t xml:space="preserve"> mark showed sufficient attention to detail and a sound knowledge of policy, practice and academic debate, but may have had occasional errors or inaccuracies or were not sufficiently well grounded in a strong theoretical framework. </w:t>
      </w:r>
    </w:p>
    <w:p w14:paraId="0816C2B7" w14:textId="77777777" w:rsidR="00F54CDA" w:rsidRPr="00F54CDA" w:rsidRDefault="00F54CDA" w:rsidP="00F54CDA">
      <w:pPr>
        <w:rPr>
          <w:rFonts w:cs="Arial"/>
          <w:color w:val="000000"/>
          <w:szCs w:val="22"/>
        </w:rPr>
      </w:pPr>
      <w:r w:rsidRPr="00F54CDA">
        <w:rPr>
          <w:rFonts w:cs="Arial"/>
          <w:color w:val="000000"/>
          <w:szCs w:val="22"/>
        </w:rPr>
        <w:t xml:space="preserve">None of the papers were poor and all showed a good appreciation of criminal behaviour, and criminal justice policy and practice. </w:t>
      </w:r>
    </w:p>
    <w:p w14:paraId="6C3894A2" w14:textId="77777777" w:rsidR="00F54CDA" w:rsidRPr="00F54CDA" w:rsidRDefault="00F54CDA" w:rsidP="00F54CDA">
      <w:pPr>
        <w:rPr>
          <w:rFonts w:cs="Arial"/>
          <w:color w:val="000000"/>
          <w:szCs w:val="22"/>
        </w:rPr>
      </w:pPr>
    </w:p>
    <w:p w14:paraId="51AB06DB" w14:textId="77777777" w:rsidR="00F54CDA" w:rsidRPr="00F54CDA" w:rsidRDefault="00F54CDA" w:rsidP="00F54CDA">
      <w:pPr>
        <w:rPr>
          <w:rFonts w:cs="Arial"/>
          <w:color w:val="000000"/>
          <w:szCs w:val="22"/>
        </w:rPr>
      </w:pPr>
      <w:r w:rsidRPr="00F54CDA">
        <w:rPr>
          <w:rFonts w:cs="Arial"/>
          <w:color w:val="000000"/>
          <w:szCs w:val="22"/>
        </w:rPr>
        <w:t xml:space="preserve">As last year, some questions were more popular than others; for example, of particular interest to the students this year were the question addressing the over-representation of young black men in the criminal justice system, questions about victimisation, and of police accountability as well as theoretical models of criminal justice. </w:t>
      </w:r>
    </w:p>
    <w:p w14:paraId="40582861" w14:textId="140662A3" w:rsidR="004757C4" w:rsidRPr="0053139B" w:rsidRDefault="0053139B" w:rsidP="004757C4">
      <w:pPr>
        <w:rPr>
          <w:b/>
          <w:bCs/>
          <w:szCs w:val="22"/>
        </w:rPr>
      </w:pPr>
      <w:r w:rsidRPr="0053139B">
        <w:rPr>
          <w:b/>
          <w:bCs/>
          <w:szCs w:val="22"/>
        </w:rPr>
        <w:t>ENVIRONMENTAL LAW</w:t>
      </w:r>
    </w:p>
    <w:p w14:paraId="323E3DC3" w14:textId="77777777" w:rsidR="00F54CDA" w:rsidRDefault="0053139B" w:rsidP="0053139B">
      <w:pPr>
        <w:rPr>
          <w:rFonts w:cs="Arial"/>
        </w:rPr>
      </w:pPr>
      <w:r>
        <w:rPr>
          <w:rFonts w:cs="Arial"/>
        </w:rPr>
        <w:lastRenderedPageBreak/>
        <w:t xml:space="preserve">These were overall, an impressive set of answers in a course that requires students to engage with a variety of legal material and legal questions. All questions on the paper were answered and students showed confidence and deft ability in the range of different legal contexts that the </w:t>
      </w:r>
    </w:p>
    <w:p w14:paraId="5B26BE06" w14:textId="7D7CA7CC" w:rsidR="0053139B" w:rsidRDefault="0053139B" w:rsidP="0053139B">
      <w:pPr>
        <w:rPr>
          <w:rFonts w:cs="Arial"/>
          <w:szCs w:val="22"/>
        </w:rPr>
      </w:pPr>
      <w:r>
        <w:rPr>
          <w:rFonts w:cs="Arial"/>
        </w:rPr>
        <w:t xml:space="preserve">study of environmental law requires. </w:t>
      </w:r>
    </w:p>
    <w:p w14:paraId="7854C484" w14:textId="77777777" w:rsidR="0053139B" w:rsidRDefault="0053139B" w:rsidP="0053139B">
      <w:pPr>
        <w:rPr>
          <w:rFonts w:ascii="Calibri" w:hAnsi="Calibri" w:cs="Calibri"/>
        </w:rPr>
      </w:pPr>
      <w:r>
        <w:rPr>
          <w:rFonts w:cs="Arial"/>
        </w:rPr>
        <w:t xml:space="preserve">Stronger answers were those that addressed the questions in a direct way. Stronger answers also showed an impressive mastery of relevant legal detail </w:t>
      </w:r>
      <w:proofErr w:type="gramStart"/>
      <w:r>
        <w:rPr>
          <w:rFonts w:cs="Arial"/>
        </w:rPr>
        <w:t>so as to</w:t>
      </w:r>
      <w:proofErr w:type="gramEnd"/>
      <w:r>
        <w:rPr>
          <w:rFonts w:cs="Arial"/>
        </w:rPr>
        <w:t xml:space="preserve"> provide a thorough answer. Where some answers were weaker is in using pre-prepared frames of analysis to address some points that were not always as relevant to a question as they could be. </w:t>
      </w:r>
      <w:proofErr w:type="gramStart"/>
      <w:r>
        <w:rPr>
          <w:rFonts w:cs="Arial"/>
        </w:rPr>
        <w:t>Overall</w:t>
      </w:r>
      <w:proofErr w:type="gramEnd"/>
      <w:r>
        <w:rPr>
          <w:rFonts w:cs="Arial"/>
        </w:rPr>
        <w:t xml:space="preserve"> though, this was a good set of exam answers with students showing a robust understanding of how environmental problems give rise to a range of legal issues. </w:t>
      </w:r>
    </w:p>
    <w:p w14:paraId="1A1737D2" w14:textId="768CAFF7" w:rsidR="004757C4" w:rsidRPr="004757C4" w:rsidRDefault="004757C4" w:rsidP="004757C4">
      <w:pPr>
        <w:rPr>
          <w:b/>
          <w:bCs/>
        </w:rPr>
      </w:pPr>
      <w:r w:rsidRPr="004757C4">
        <w:rPr>
          <w:b/>
          <w:bCs/>
        </w:rPr>
        <w:t xml:space="preserve">EU LAW </w:t>
      </w:r>
    </w:p>
    <w:p w14:paraId="31FF9848" w14:textId="77777777" w:rsidR="004757C4" w:rsidRDefault="004757C4" w:rsidP="004757C4">
      <w:r>
        <w:t>GENERAL</w:t>
      </w:r>
    </w:p>
    <w:p w14:paraId="3581C930" w14:textId="77777777" w:rsidR="004757C4" w:rsidRDefault="004757C4" w:rsidP="004757C4">
      <w:r>
        <w:t xml:space="preserve">By and large, candidates coped well with the move to the online examination in EU law. Nevertheless, problems arose when candidates used pre-existing answers (tutorial essays) to another year’s questions to answer this </w:t>
      </w:r>
      <w:proofErr w:type="gramStart"/>
      <w:r>
        <w:t>year’s</w:t>
      </w:r>
      <w:proofErr w:type="gramEnd"/>
      <w:r>
        <w:t xml:space="preserve">. This meant that the groundwork was already there, even though the texts very often pushed the word limit. </w:t>
      </w:r>
      <w:proofErr w:type="gramStart"/>
      <w:r>
        <w:t>As a consequence</w:t>
      </w:r>
      <w:proofErr w:type="gramEnd"/>
      <w:r>
        <w:t>, there was a lack of engagement with the specific question, rather than with the general subject area to which it referred. The better answers were those that were either specifically written for this exam, or that thoroughly adapted the existing text to the new question. It is not clear to the examiners which method was less laborious.</w:t>
      </w:r>
    </w:p>
    <w:p w14:paraId="376CB888" w14:textId="6C87345C" w:rsidR="004757C4" w:rsidRDefault="004757C4" w:rsidP="004757C4">
      <w:r>
        <w:t xml:space="preserve"> Q1</w:t>
      </w:r>
    </w:p>
    <w:p w14:paraId="60F01CAF" w14:textId="77777777" w:rsidR="004757C4" w:rsidRDefault="004757C4" w:rsidP="004757C4">
      <w:r>
        <w:t xml:space="preserve">This question did not have many takers. The quality of the answers was mixed. Regarding the first part of the question, ‘what are they’, some of the points that candidates might have thought about were: rules relating to ‘selling arrangements’ vs ‘product requirements’; background to </w:t>
      </w:r>
      <w:r w:rsidRPr="005D7594">
        <w:rPr>
          <w:i/>
          <w:iCs/>
        </w:rPr>
        <w:t xml:space="preserve">Keck: </w:t>
      </w:r>
      <w:proofErr w:type="spellStart"/>
      <w:r w:rsidRPr="005D7594">
        <w:rPr>
          <w:i/>
          <w:iCs/>
        </w:rPr>
        <w:t>Dassonville</w:t>
      </w:r>
      <w:proofErr w:type="spellEnd"/>
      <w:r w:rsidRPr="005D7594">
        <w:rPr>
          <w:i/>
          <w:iCs/>
        </w:rPr>
        <w:t>, Cassis, Sunday trading</w:t>
      </w:r>
      <w:r>
        <w:t>; attempt at a definition: list of examples, or abstract; how to distinguish one type of rule from the other, and can the same measure be both (</w:t>
      </w:r>
      <w:r w:rsidRPr="005D7594">
        <w:rPr>
          <w:i/>
          <w:iCs/>
        </w:rPr>
        <w:t xml:space="preserve">Gourmet, de Agostini, </w:t>
      </w:r>
      <w:proofErr w:type="spellStart"/>
      <w:r w:rsidRPr="005D7594">
        <w:rPr>
          <w:i/>
          <w:iCs/>
        </w:rPr>
        <w:t>Familiapress</w:t>
      </w:r>
      <w:proofErr w:type="spellEnd"/>
      <w:r>
        <w:t>) or neither (</w:t>
      </w:r>
      <w:proofErr w:type="spellStart"/>
      <w:r w:rsidRPr="000F3F44">
        <w:rPr>
          <w:i/>
          <w:iCs/>
        </w:rPr>
        <w:t>Bluhme</w:t>
      </w:r>
      <w:proofErr w:type="spellEnd"/>
      <w:r w:rsidRPr="000F3F44">
        <w:rPr>
          <w:i/>
          <w:iCs/>
        </w:rPr>
        <w:t>, Alfa Vita</w:t>
      </w:r>
      <w:r>
        <w:t>)?</w:t>
      </w:r>
    </w:p>
    <w:p w14:paraId="0E324A91" w14:textId="77777777" w:rsidR="004757C4" w:rsidRPr="00AA5704" w:rsidRDefault="004757C4" w:rsidP="004757C4">
      <w:pPr>
        <w:rPr>
          <w:lang w:val="de-DE"/>
        </w:rPr>
      </w:pPr>
      <w:r>
        <w:t xml:space="preserve">When it comes to the second part, ‘what role do they play?’, some items for consideration might have been: relationship with discrimination test; starting point of the assessment (need for a definition), or not even part of it?; presumption (reversal of the burden of proof) that ‘product requirements’ do, and ‘selling arrangements’ do not breach Article 34?; meaning of para 17 of </w:t>
      </w:r>
      <w:r w:rsidRPr="005D7594">
        <w:rPr>
          <w:i/>
          <w:iCs/>
        </w:rPr>
        <w:t>Keck,</w:t>
      </w:r>
      <w:r>
        <w:t xml:space="preserve"> ‘not by nature …’?; </w:t>
      </w:r>
      <w:r w:rsidRPr="005D7594">
        <w:rPr>
          <w:i/>
          <w:iCs/>
        </w:rPr>
        <w:t xml:space="preserve">Keck </w:t>
      </w:r>
      <w:r>
        <w:t xml:space="preserve">overruled in </w:t>
      </w:r>
      <w:r w:rsidRPr="005D7594">
        <w:rPr>
          <w:i/>
          <w:iCs/>
        </w:rPr>
        <w:t>Moped trailers</w:t>
      </w:r>
      <w:r>
        <w:t xml:space="preserve"> or other judgments?; </w:t>
      </w:r>
      <w:r w:rsidRPr="003145C2">
        <w:rPr>
          <w:i/>
          <w:iCs/>
        </w:rPr>
        <w:t>Keck</w:t>
      </w:r>
      <w:r>
        <w:t xml:space="preserve"> transposed/transposable to the other freedoms of movement (</w:t>
      </w:r>
      <w:r w:rsidRPr="00AA5704">
        <w:rPr>
          <w:i/>
          <w:iCs/>
          <w:lang w:val="de-DE"/>
        </w:rPr>
        <w:t>Alpine Investments, Bosman, Lehtonen, Deliège</w:t>
      </w:r>
      <w:r>
        <w:rPr>
          <w:lang w:val="de-DE"/>
        </w:rPr>
        <w:t>)?</w:t>
      </w:r>
      <w:r w:rsidRPr="00AA5704">
        <w:rPr>
          <w:i/>
          <w:iCs/>
          <w:lang w:val="de-DE"/>
        </w:rPr>
        <w:t xml:space="preserve">  </w:t>
      </w:r>
    </w:p>
    <w:p w14:paraId="0E9F3E80" w14:textId="77777777" w:rsidR="004757C4" w:rsidRDefault="004757C4" w:rsidP="004757C4">
      <w:r>
        <w:lastRenderedPageBreak/>
        <w:t>Concerning the marking, a 2:2 was awarded where the answer provided no context, no definition, nothing on the role of ‘selling arrangements’ in the assessment overall, and/or contained fundamental mistakes.</w:t>
      </w:r>
    </w:p>
    <w:p w14:paraId="0E2D626F" w14:textId="77777777" w:rsidR="004757C4" w:rsidRDefault="004757C4" w:rsidP="004757C4">
      <w:r>
        <w:t xml:space="preserve">Answers in the lower half of 2:1 contained imprecise, incomplete, or partly wrong (mere) re-telling of cases; an intuitive (i.e., lacking definitions) use of ‘discrimination’, ‘selling arrangements’, ‘product requirements’; misunderstandings regarding ‘mandatory requirements’; cast </w:t>
      </w:r>
      <w:r w:rsidRPr="00430E12">
        <w:t>no sideways glances at the other freedoms</w:t>
      </w:r>
      <w:r>
        <w:t xml:space="preserve">; and engaged little or not at all with the literature. </w:t>
      </w:r>
    </w:p>
    <w:p w14:paraId="7E25FD0F" w14:textId="77777777" w:rsidR="004757C4" w:rsidRDefault="004757C4" w:rsidP="004757C4">
      <w:r>
        <w:t xml:space="preserve">A mark from the upper half of 2:1 was awarded for an accurate summary of Keck and other cases, albeit without much systematic reflection on the role of ‘discrimination’ and ‘market access’ in the assessment, often implying that a finding of ‘selling arrangements’ precludes any further questions; there would be an engagement with literature (often a mere parroting from the most widely used textbooks), but no critical discussion. </w:t>
      </w:r>
    </w:p>
    <w:p w14:paraId="126A2642" w14:textId="77777777" w:rsidR="004757C4" w:rsidRDefault="004757C4" w:rsidP="004757C4">
      <w:r>
        <w:t>Answers were placed in the 1</w:t>
      </w:r>
      <w:r w:rsidRPr="00430E12">
        <w:rPr>
          <w:vertAlign w:val="superscript"/>
        </w:rPr>
        <w:t>st</w:t>
      </w:r>
      <w:r>
        <w:t xml:space="preserve"> class if they showed the strength of the previous category, and additionally, a critical discussion of case law &amp; literature, and a perspective on other freedoms.</w:t>
      </w:r>
    </w:p>
    <w:p w14:paraId="7A00665C" w14:textId="77777777" w:rsidR="004757C4" w:rsidRDefault="004757C4" w:rsidP="004757C4">
      <w:r>
        <w:t>Q2</w:t>
      </w:r>
    </w:p>
    <w:p w14:paraId="7C63E243" w14:textId="77777777" w:rsidR="004757C4" w:rsidRDefault="004757C4" w:rsidP="004757C4">
      <w:r>
        <w:t xml:space="preserve">This question had a good number of takers. Knowledge of </w:t>
      </w:r>
      <w:proofErr w:type="gramStart"/>
      <w:r w:rsidRPr="00811B46">
        <w:rPr>
          <w:i/>
          <w:iCs/>
        </w:rPr>
        <w:t>My</w:t>
      </w:r>
      <w:proofErr w:type="gramEnd"/>
      <w:r>
        <w:t xml:space="preserve"> was not expected, but that candidates would note the contrast with, in particular, </w:t>
      </w:r>
      <w:proofErr w:type="spellStart"/>
      <w:r>
        <w:rPr>
          <w:i/>
          <w:iCs/>
        </w:rPr>
        <w:t>Grzelczyk</w:t>
      </w:r>
      <w:proofErr w:type="spellEnd"/>
      <w:r>
        <w:rPr>
          <w:i/>
          <w:iCs/>
        </w:rPr>
        <w:t xml:space="preserve">. </w:t>
      </w:r>
      <w:r>
        <w:t xml:space="preserve">This might have given rise to the question how the two judgments could be reconciled, whether, for instance, the qualification of an individual as ‘worker’ is crucial. This could have led to a reflection on the case law concerning students (of which </w:t>
      </w:r>
      <w:proofErr w:type="spellStart"/>
      <w:r>
        <w:rPr>
          <w:i/>
          <w:iCs/>
        </w:rPr>
        <w:t>Grzelczyk</w:t>
      </w:r>
      <w:proofErr w:type="spellEnd"/>
      <w:r>
        <w:rPr>
          <w:i/>
          <w:iCs/>
        </w:rPr>
        <w:t xml:space="preserve"> </w:t>
      </w:r>
      <w:r>
        <w:t xml:space="preserve">is an example). Another question that arises in this context is which (if any) of the provisions on citizenship, and on free movement of workers, are </w:t>
      </w:r>
      <w:r>
        <w:rPr>
          <w:i/>
          <w:iCs/>
        </w:rPr>
        <w:t xml:space="preserve">leges </w:t>
      </w:r>
      <w:proofErr w:type="spellStart"/>
      <w:r>
        <w:rPr>
          <w:i/>
          <w:iCs/>
        </w:rPr>
        <w:t>speciales</w:t>
      </w:r>
      <w:proofErr w:type="spellEnd"/>
      <w:r>
        <w:rPr>
          <w:i/>
          <w:iCs/>
        </w:rPr>
        <w:t xml:space="preserve">? </w:t>
      </w:r>
      <w:r>
        <w:t xml:space="preserve">Some candidates may have noticed that there is a </w:t>
      </w:r>
      <w:proofErr w:type="spellStart"/>
      <w:r>
        <w:t>paralle</w:t>
      </w:r>
      <w:proofErr w:type="spellEnd"/>
      <w:r>
        <w:t xml:space="preserve"> with the same question in relation to Article 18 and 45. Directive 2004/38 can be read to side with </w:t>
      </w:r>
      <w:proofErr w:type="spellStart"/>
      <w:r>
        <w:rPr>
          <w:i/>
          <w:iCs/>
        </w:rPr>
        <w:t>Grzelczyk</w:t>
      </w:r>
      <w:proofErr w:type="spellEnd"/>
      <w:r>
        <w:rPr>
          <w:i/>
          <w:iCs/>
        </w:rPr>
        <w:t xml:space="preserve">. </w:t>
      </w:r>
      <w:r>
        <w:t xml:space="preserve">Nevertheless, because a directive ranks below the TFEU, no conclusive argument follows from the Directive. Positions in the literature are divided: this could have been the starting point of a discussion in which candidates would ideally have developed their own position.  </w:t>
      </w:r>
    </w:p>
    <w:p w14:paraId="61DB95EB" w14:textId="77777777" w:rsidR="004757C4" w:rsidRDefault="004757C4" w:rsidP="004757C4">
      <w:r w:rsidRPr="00BF11D1">
        <w:t>Banding</w:t>
      </w:r>
      <w:r>
        <w:t xml:space="preserve">: a 2:2 would be awarded if there was little or no engagement with the question, rather than a mere reproduction of commonplaces on Union citizenship, or fundamental mistakes. </w:t>
      </w:r>
    </w:p>
    <w:p w14:paraId="40133848" w14:textId="77777777" w:rsidR="004757C4" w:rsidRDefault="004757C4" w:rsidP="004757C4">
      <w:r>
        <w:t xml:space="preserve">A 2:1, lower half was given to scripts that contained much case re-telling (with a prominent role played by the judgment in </w:t>
      </w:r>
      <w:r>
        <w:rPr>
          <w:i/>
          <w:iCs/>
        </w:rPr>
        <w:t>Ruiz Zambrano</w:t>
      </w:r>
      <w:r>
        <w:t>)</w:t>
      </w:r>
      <w:r>
        <w:rPr>
          <w:i/>
          <w:iCs/>
        </w:rPr>
        <w:t xml:space="preserve">. </w:t>
      </w:r>
      <w:r>
        <w:t>Such scripts would typically show merely superficial engagement with the quotation, especially with the question of the relationship between Articles 20/21 and 45.</w:t>
      </w:r>
    </w:p>
    <w:p w14:paraId="3C62E8D0" w14:textId="77777777" w:rsidR="004757C4" w:rsidRDefault="004757C4" w:rsidP="004757C4">
      <w:r>
        <w:lastRenderedPageBreak/>
        <w:t xml:space="preserve">A script was placed in 2:1, upper half, if there was some reflection on relationship between Articles 20/21 and 45, maybe also Article 18 (invoked in </w:t>
      </w:r>
      <w:proofErr w:type="spellStart"/>
      <w:r>
        <w:rPr>
          <w:i/>
          <w:iCs/>
        </w:rPr>
        <w:t>Grzelczyk</w:t>
      </w:r>
      <w:proofErr w:type="spellEnd"/>
      <w:r w:rsidRPr="000B4D20">
        <w:t>)</w:t>
      </w:r>
      <w:r>
        <w:rPr>
          <w:i/>
          <w:iCs/>
        </w:rPr>
        <w:t>.</w:t>
      </w:r>
      <w:r>
        <w:t xml:space="preserve"> Such scripts would also </w:t>
      </w:r>
      <w:proofErr w:type="gramStart"/>
      <w:r>
        <w:t>make reference</w:t>
      </w:r>
      <w:proofErr w:type="gramEnd"/>
      <w:r>
        <w:t xml:space="preserve"> to the Directive and to some literature, but without much discussion. </w:t>
      </w:r>
    </w:p>
    <w:p w14:paraId="398A586B" w14:textId="77777777" w:rsidR="004757C4" w:rsidRDefault="004757C4" w:rsidP="004757C4">
      <w:r>
        <w:t>Scripts qualified for a 1</w:t>
      </w:r>
      <w:r w:rsidRPr="00891133">
        <w:rPr>
          <w:vertAlign w:val="superscript"/>
        </w:rPr>
        <w:t>st</w:t>
      </w:r>
      <w:r>
        <w:t xml:space="preserve"> class mark if there was close engagement with the quotation, and ideally also with the wording of Articles 20, 21, as well as a reflection on the scheme of the entire chapter on non-discrimination &amp; citizenship, especially on the repeated reference to ‘rights and duties’, ‘conditions &amp; limits’, ‘limitations &amp; </w:t>
      </w:r>
      <w:proofErr w:type="gramStart"/>
      <w:r>
        <w:t>conditions’</w:t>
      </w:r>
      <w:proofErr w:type="gramEnd"/>
      <w:r>
        <w:t xml:space="preserve">. Equally rewarded was a close (and potentially critical) look at </w:t>
      </w:r>
      <w:proofErr w:type="spellStart"/>
      <w:r>
        <w:rPr>
          <w:i/>
          <w:iCs/>
        </w:rPr>
        <w:t>Grzelczyk’s</w:t>
      </w:r>
      <w:proofErr w:type="spellEnd"/>
      <w:r>
        <w:rPr>
          <w:i/>
          <w:iCs/>
        </w:rPr>
        <w:t xml:space="preserve"> </w:t>
      </w:r>
      <w:r>
        <w:t xml:space="preserve">formula of Union citizenship as a ‘fundamental </w:t>
      </w:r>
      <w:proofErr w:type="gramStart"/>
      <w:r>
        <w:t>status’</w:t>
      </w:r>
      <w:proofErr w:type="gramEnd"/>
      <w:r>
        <w:t xml:space="preserve">. This might have been concluded with some reflection on the question whether </w:t>
      </w:r>
      <w:proofErr w:type="gramStart"/>
      <w:r>
        <w:rPr>
          <w:i/>
          <w:iCs/>
        </w:rPr>
        <w:t>My</w:t>
      </w:r>
      <w:proofErr w:type="gramEnd"/>
      <w:r>
        <w:rPr>
          <w:i/>
          <w:iCs/>
        </w:rPr>
        <w:t xml:space="preserve"> </w:t>
      </w:r>
      <w:r>
        <w:t>has been forgotten, overruled, or consigned to its own niche.</w:t>
      </w:r>
    </w:p>
    <w:p w14:paraId="0710446C" w14:textId="77777777" w:rsidR="004757C4" w:rsidRPr="004757C4" w:rsidRDefault="004757C4" w:rsidP="004757C4">
      <w:pPr>
        <w:rPr>
          <w:szCs w:val="22"/>
        </w:rPr>
      </w:pPr>
      <w:r w:rsidRPr="004757C4">
        <w:rPr>
          <w:szCs w:val="22"/>
        </w:rPr>
        <w:t>Q3</w:t>
      </w:r>
    </w:p>
    <w:p w14:paraId="161D9C08" w14:textId="77777777" w:rsidR="004757C4" w:rsidRDefault="004757C4" w:rsidP="004757C4">
      <w:r>
        <w:t xml:space="preserve">This was among the most popular questions. Strictly speaking, it addresses only Article 114, but candidates legitimately used it as a springboard for a discussion of the principles of conferral, subsidiarity, and proportionality, and some had very little on Article 114 at all. </w:t>
      </w:r>
      <w:r w:rsidRPr="007C7263">
        <w:t xml:space="preserve">Starting point </w:t>
      </w:r>
      <w:r>
        <w:t xml:space="preserve">for the discussion might have been the Court’s usual formula as found, for instance, in </w:t>
      </w:r>
      <w:r w:rsidRPr="00A4411E">
        <w:rPr>
          <w:i/>
          <w:iCs/>
        </w:rPr>
        <w:t>Vodafone,</w:t>
      </w:r>
      <w:r w:rsidRPr="007C7263">
        <w:t xml:space="preserve"> paras 32, 33</w:t>
      </w:r>
      <w:r>
        <w:t xml:space="preserve">, and other cases on the reading list. </w:t>
      </w:r>
    </w:p>
    <w:p w14:paraId="08F7AC9C" w14:textId="77777777" w:rsidR="004757C4" w:rsidRPr="007C7263" w:rsidRDefault="004757C4" w:rsidP="004757C4">
      <w:r>
        <w:t>The Court’s formulation of a</w:t>
      </w:r>
      <w:r w:rsidRPr="007C7263">
        <w:t xml:space="preserve"> “mere finding of disparities between national rules</w:t>
      </w:r>
      <w:r>
        <w:t xml:space="preserve">” might have reminded candidates </w:t>
      </w:r>
      <w:r w:rsidRPr="007C7263">
        <w:t xml:space="preserve">of </w:t>
      </w:r>
      <w:r w:rsidRPr="00A4411E">
        <w:rPr>
          <w:i/>
          <w:iCs/>
        </w:rPr>
        <w:t>Cassis</w:t>
      </w:r>
      <w:r>
        <w:t>.</w:t>
      </w:r>
      <w:r w:rsidRPr="007C7263">
        <w:t xml:space="preserve"> </w:t>
      </w:r>
      <w:r>
        <w:t xml:space="preserve">This could have prompted a discussion </w:t>
      </w:r>
      <w:r w:rsidRPr="007C7263">
        <w:t xml:space="preserve">relationship </w:t>
      </w:r>
      <w:r>
        <w:t xml:space="preserve">between this formula and </w:t>
      </w:r>
      <w:r w:rsidRPr="007C7263">
        <w:t>“differences between national rules which are such as to obstruct the fundamental freedoms”</w:t>
      </w:r>
      <w:r>
        <w:t>.</w:t>
      </w:r>
      <w:r w:rsidRPr="007C7263">
        <w:t xml:space="preserve"> </w:t>
      </w:r>
      <w:r>
        <w:t xml:space="preserve">A wider question that arises from this concerns </w:t>
      </w:r>
      <w:r w:rsidRPr="007C7263">
        <w:t>the relationship between Articles 34–36 and 114</w:t>
      </w:r>
      <w:r>
        <w:t>, or</w:t>
      </w:r>
      <w:r w:rsidRPr="007C7263">
        <w:t xml:space="preserve"> “</w:t>
      </w:r>
      <w:r>
        <w:t>c</w:t>
      </w:r>
      <w:r w:rsidRPr="007C7263">
        <w:t>an selling arrangements be harmonised?” (G Davies)</w:t>
      </w:r>
      <w:r>
        <w:t>.</w:t>
      </w:r>
    </w:p>
    <w:p w14:paraId="20A59E03" w14:textId="77777777" w:rsidR="004757C4" w:rsidRPr="007C7263" w:rsidRDefault="004757C4" w:rsidP="004757C4">
      <w:r>
        <w:t xml:space="preserve">Still </w:t>
      </w:r>
      <w:proofErr w:type="gramStart"/>
      <w:r>
        <w:t>with regard to</w:t>
      </w:r>
      <w:proofErr w:type="gramEnd"/>
      <w:r>
        <w:t xml:space="preserve"> the Court’s formula, w</w:t>
      </w:r>
      <w:r w:rsidRPr="007C7263">
        <w:t>hat is a ‘direct effect’ on the functioning of the internal market? What is an indirect effect</w:t>
      </w:r>
      <w:r>
        <w:t xml:space="preserve"> (if there is such a thing)</w:t>
      </w:r>
      <w:r w:rsidRPr="007C7263">
        <w:t xml:space="preserve">? </w:t>
      </w:r>
      <w:r>
        <w:t>Is this a q</w:t>
      </w:r>
      <w:r w:rsidRPr="007C7263">
        <w:t>uestion of degree</w:t>
      </w:r>
      <w:r>
        <w:t>, as some judgments might be read to indicate</w:t>
      </w:r>
      <w:r w:rsidRPr="007C7263">
        <w:t xml:space="preserve">? </w:t>
      </w:r>
      <w:r>
        <w:t>This could be meant w</w:t>
      </w:r>
      <w:r w:rsidRPr="007C7263">
        <w:t xml:space="preserve">hen </w:t>
      </w:r>
      <w:r>
        <w:t xml:space="preserve">the Court demands that </w:t>
      </w:r>
      <w:r w:rsidRPr="007C7263">
        <w:t xml:space="preserve">distortions of competition </w:t>
      </w:r>
      <w:r>
        <w:t xml:space="preserve">be </w:t>
      </w:r>
      <w:r w:rsidRPr="007C7263">
        <w:t>‘significant’</w:t>
      </w:r>
      <w:r>
        <w:t xml:space="preserve"> for legislation under Article 114 to be permissible.</w:t>
      </w:r>
      <w:r w:rsidRPr="007C7263">
        <w:t xml:space="preserve"> The </w:t>
      </w:r>
      <w:r>
        <w:t xml:space="preserve">reference to ‘distortions of competition’ </w:t>
      </w:r>
      <w:r w:rsidRPr="007C7263">
        <w:t>is apparently borrowed from Article 116</w:t>
      </w:r>
      <w:r>
        <w:t xml:space="preserve"> TFEU. In that provision,</w:t>
      </w:r>
      <w:r w:rsidRPr="007C7263">
        <w:t xml:space="preserve"> however, </w:t>
      </w:r>
      <w:r>
        <w:t xml:space="preserve">such distortions have </w:t>
      </w:r>
      <w:r w:rsidRPr="007C7263">
        <w:t xml:space="preserve">different consequences. Is this ‘competition’ as in Article 101/102 </w:t>
      </w:r>
      <w:r>
        <w:t>(h</w:t>
      </w:r>
      <w:r w:rsidRPr="007C7263">
        <w:t>ow could it be – among national legal orders?</w:t>
      </w:r>
      <w:r>
        <w:t>) or</w:t>
      </w:r>
      <w:r w:rsidRPr="007C7263">
        <w:t xml:space="preserve"> Article 107(1) (state interference through subsidies in private competition)?</w:t>
      </w:r>
      <w:r>
        <w:t xml:space="preserve"> Similarly, candidates might have asked w</w:t>
      </w:r>
      <w:r w:rsidRPr="007C7263">
        <w:t xml:space="preserve">hen the emergence of obstacles </w:t>
      </w:r>
      <w:r>
        <w:t xml:space="preserve">is </w:t>
      </w:r>
      <w:r w:rsidRPr="007C7263">
        <w:t>‘likely’</w:t>
      </w:r>
      <w:r>
        <w:t>,</w:t>
      </w:r>
      <w:r w:rsidRPr="007C7263">
        <w:t xml:space="preserve"> </w:t>
      </w:r>
      <w:r>
        <w:t>and h</w:t>
      </w:r>
      <w:r w:rsidRPr="007C7263">
        <w:t xml:space="preserve">ow likely </w:t>
      </w:r>
      <w:r>
        <w:t xml:space="preserve">it </w:t>
      </w:r>
      <w:r w:rsidRPr="007C7263">
        <w:t>must it be</w:t>
      </w:r>
      <w:r>
        <w:t>.</w:t>
      </w:r>
    </w:p>
    <w:p w14:paraId="0CAB9B8E" w14:textId="77777777" w:rsidR="004757C4" w:rsidRPr="007C7263" w:rsidRDefault="004757C4" w:rsidP="004757C4">
      <w:r>
        <w:t xml:space="preserve">From the Court’s demanding that </w:t>
      </w:r>
      <w:r w:rsidRPr="007C7263">
        <w:t xml:space="preserve">a </w:t>
      </w:r>
      <w:proofErr w:type="gramStart"/>
      <w:r w:rsidRPr="007C7263">
        <w:t>measure</w:t>
      </w:r>
      <w:proofErr w:type="gramEnd"/>
      <w:r w:rsidRPr="007C7263">
        <w:t xml:space="preserve"> </w:t>
      </w:r>
      <w:r>
        <w:t xml:space="preserve">be </w:t>
      </w:r>
      <w:r w:rsidRPr="007C7263">
        <w:t>‘designed to prevent’ the obstacle</w:t>
      </w:r>
      <w:r>
        <w:t>, the question follows w</w:t>
      </w:r>
      <w:r w:rsidRPr="007C7263">
        <w:t xml:space="preserve">hich objectives the EU </w:t>
      </w:r>
      <w:r>
        <w:t xml:space="preserve">may </w:t>
      </w:r>
      <w:r w:rsidRPr="007C7263">
        <w:t>pursue beside the establishment and functioning of the internal market</w:t>
      </w:r>
      <w:r>
        <w:t xml:space="preserve">. Many candidates were under the impression that creating the internal market must be the only aim, and that the pursuit of goals such as public health or the protection of the environment precludes recourse to Article 114. </w:t>
      </w:r>
      <w:r w:rsidRPr="007C7263">
        <w:t xml:space="preserve"> </w:t>
      </w:r>
    </w:p>
    <w:p w14:paraId="2E7B4E7C" w14:textId="77777777" w:rsidR="004757C4" w:rsidRDefault="004757C4" w:rsidP="004757C4">
      <w:r>
        <w:lastRenderedPageBreak/>
        <w:t xml:space="preserve">This is related to the requirement that a measure </w:t>
      </w:r>
      <w:r w:rsidRPr="007C7263">
        <w:t>“genuinely be to improve the conditions for the establishment and functioning of the internal market”</w:t>
      </w:r>
      <w:r>
        <w:t xml:space="preserve">. This appears directly opposed to judgments in which the Court held </w:t>
      </w:r>
      <w:r w:rsidRPr="007C7263">
        <w:t xml:space="preserve">outright prohibitions </w:t>
      </w:r>
      <w:r>
        <w:t xml:space="preserve">to be </w:t>
      </w:r>
      <w:r w:rsidRPr="007C7263">
        <w:t>permissible</w:t>
      </w:r>
      <w:r>
        <w:t xml:space="preserve"> such as </w:t>
      </w:r>
      <w:r w:rsidRPr="00443AC1">
        <w:rPr>
          <w:i/>
          <w:iCs/>
        </w:rPr>
        <w:t>Arnold André,</w:t>
      </w:r>
      <w:r w:rsidRPr="007C7263">
        <w:t xml:space="preserve"> paras 34, 35</w:t>
      </w:r>
      <w:r>
        <w:t>.</w:t>
      </w:r>
    </w:p>
    <w:p w14:paraId="4B7EB1DB" w14:textId="77777777" w:rsidR="004757C4" w:rsidRDefault="004757C4" w:rsidP="004757C4">
      <w:r>
        <w:t xml:space="preserve">The above discussion at the same said everything that needed to be said for this question about the principle of conferral. </w:t>
      </w:r>
      <w:proofErr w:type="gramStart"/>
      <w:r>
        <w:t>As long as</w:t>
      </w:r>
      <w:proofErr w:type="gramEnd"/>
      <w:r>
        <w:t xml:space="preserve"> they had said something about Article 114, candidates were free to connect this with the principles of subsidiarity and proportionality under Article 5 TEU. </w:t>
      </w:r>
    </w:p>
    <w:p w14:paraId="5679EAFC" w14:textId="77777777" w:rsidR="004757C4" w:rsidRPr="007C7263" w:rsidRDefault="004757C4" w:rsidP="004757C4"/>
    <w:p w14:paraId="1E38A9E1" w14:textId="77777777" w:rsidR="004757C4" w:rsidRPr="00DA022F" w:rsidRDefault="004757C4" w:rsidP="004757C4">
      <w:r w:rsidRPr="004757C4">
        <w:rPr>
          <w:szCs w:val="22"/>
        </w:rPr>
        <w:t>Banding:</w:t>
      </w:r>
      <w:r>
        <w:rPr>
          <w:sz w:val="32"/>
          <w:szCs w:val="32"/>
        </w:rPr>
        <w:t xml:space="preserve"> </w:t>
      </w:r>
      <w:r>
        <w:t>a 2</w:t>
      </w:r>
      <w:r w:rsidRPr="00DA022F">
        <w:t xml:space="preserve">:2 </w:t>
      </w:r>
      <w:r>
        <w:t xml:space="preserve">was awarded </w:t>
      </w:r>
      <w:r w:rsidRPr="00DA022F">
        <w:t xml:space="preserve">only if the candidate </w:t>
      </w:r>
      <w:r>
        <w:t xml:space="preserve">was </w:t>
      </w:r>
      <w:r w:rsidRPr="00DA022F">
        <w:t xml:space="preserve">unable coherently to retell any case law (at the </w:t>
      </w:r>
      <w:r>
        <w:t xml:space="preserve">very </w:t>
      </w:r>
      <w:r w:rsidRPr="00DA022F">
        <w:t xml:space="preserve">least, </w:t>
      </w:r>
      <w:r w:rsidRPr="00DA022F">
        <w:rPr>
          <w:i/>
          <w:iCs/>
        </w:rPr>
        <w:t>Tobacco Advertising</w:t>
      </w:r>
      <w:r w:rsidRPr="00DA022F">
        <w:t xml:space="preserve">), Article 114, or </w:t>
      </w:r>
      <w:r>
        <w:t xml:space="preserve">one commentator or other’s opinion as found in one of the popular </w:t>
      </w:r>
      <w:proofErr w:type="gramStart"/>
      <w:r>
        <w:t>text books</w:t>
      </w:r>
      <w:proofErr w:type="gramEnd"/>
      <w:r>
        <w:t xml:space="preserve">. </w:t>
      </w:r>
    </w:p>
    <w:p w14:paraId="7ED9D887" w14:textId="77777777" w:rsidR="004757C4" w:rsidRPr="00DA022F" w:rsidRDefault="004757C4" w:rsidP="004757C4">
      <w:r>
        <w:t xml:space="preserve">A </w:t>
      </w:r>
      <w:r w:rsidRPr="00DA022F">
        <w:t xml:space="preserve">2:1, lower half </w:t>
      </w:r>
      <w:r>
        <w:t xml:space="preserve">was the mark </w:t>
      </w:r>
      <w:r w:rsidRPr="00DA022F">
        <w:t xml:space="preserve">if there </w:t>
      </w:r>
      <w:r>
        <w:t>we</w:t>
      </w:r>
      <w:r w:rsidRPr="00DA022F">
        <w:t>re misunderstandings and mistakes, but the candidate kn</w:t>
      </w:r>
      <w:r>
        <w:t>ew</w:t>
      </w:r>
      <w:r w:rsidRPr="00DA022F">
        <w:t xml:space="preserve"> some case law and literature, without much discussion or the expression of an opinion. Some of the above points </w:t>
      </w:r>
      <w:r>
        <w:t xml:space="preserve">were </w:t>
      </w:r>
      <w:r w:rsidRPr="00DA022F">
        <w:t xml:space="preserve">addressed, </w:t>
      </w:r>
      <w:proofErr w:type="gramStart"/>
      <w:r w:rsidRPr="00DA022F">
        <w:t>more or less explicitly</w:t>
      </w:r>
      <w:proofErr w:type="gramEnd"/>
      <w:r w:rsidRPr="00DA022F">
        <w:t>.</w:t>
      </w:r>
    </w:p>
    <w:p w14:paraId="0654B14D" w14:textId="77777777" w:rsidR="004757C4" w:rsidRPr="00DA022F" w:rsidRDefault="004757C4" w:rsidP="004757C4">
      <w:r>
        <w:t xml:space="preserve">A script attracted a </w:t>
      </w:r>
      <w:r w:rsidRPr="00DA022F">
        <w:t xml:space="preserve">2:1, upper half </w:t>
      </w:r>
      <w:r>
        <w:t xml:space="preserve">if there was </w:t>
      </w:r>
      <w:r w:rsidRPr="00DA022F">
        <w:t>more case law and literature, correctly summarised</w:t>
      </w:r>
      <w:r>
        <w:t>, as well as</w:t>
      </w:r>
      <w:r w:rsidRPr="00DA022F">
        <w:t xml:space="preserve"> </w:t>
      </w:r>
      <w:r>
        <w:t>m</w:t>
      </w:r>
      <w:r w:rsidRPr="00DA022F">
        <w:t xml:space="preserve">ore of the above points, more thoroughly addressed. </w:t>
      </w:r>
      <w:r w:rsidRPr="00DA022F">
        <w:rPr>
          <w:i/>
          <w:iCs/>
        </w:rPr>
        <w:t>Tobacco advertising</w:t>
      </w:r>
      <w:r w:rsidRPr="00DA022F">
        <w:t xml:space="preserve"> </w:t>
      </w:r>
      <w:r>
        <w:t>would</w:t>
      </w:r>
      <w:r w:rsidRPr="00DA022F">
        <w:t xml:space="preserve"> feature prominently. Candidates </w:t>
      </w:r>
      <w:r>
        <w:t xml:space="preserve">would </w:t>
      </w:r>
      <w:r w:rsidRPr="00DA022F">
        <w:t xml:space="preserve">discuss public health, may cite the concluding words of Article 168(5) TFEU, and might say or imply that pursuing that objective is not permissible under Article 114. </w:t>
      </w:r>
    </w:p>
    <w:p w14:paraId="7A228CFE" w14:textId="77777777" w:rsidR="004757C4" w:rsidRPr="00DA022F" w:rsidRDefault="004757C4" w:rsidP="004757C4">
      <w:r w:rsidRPr="00DA022F">
        <w:t>1</w:t>
      </w:r>
      <w:r w:rsidRPr="00DA022F">
        <w:rPr>
          <w:vertAlign w:val="superscript"/>
        </w:rPr>
        <w:t>st</w:t>
      </w:r>
      <w:r w:rsidRPr="00DA022F">
        <w:t xml:space="preserve"> class answers reflect</w:t>
      </w:r>
      <w:r>
        <w:t>ed</w:t>
      </w:r>
      <w:r w:rsidRPr="00DA022F">
        <w:t xml:space="preserve"> on the concept of the internal market and the four freedoms, as well as on their relationship with Article 114. Candidates will address many or most of the above points. </w:t>
      </w:r>
    </w:p>
    <w:p w14:paraId="25EF6EBE" w14:textId="77777777" w:rsidR="004757C4" w:rsidRDefault="004757C4" w:rsidP="004757C4">
      <w:r>
        <w:t>Q4</w:t>
      </w:r>
    </w:p>
    <w:p w14:paraId="6D783647" w14:textId="77777777" w:rsidR="004757C4" w:rsidRDefault="004757C4" w:rsidP="004757C4">
      <w:r>
        <w:t xml:space="preserve">This question about the supremacy of EU law over national law was a very popular choice. Apart from </w:t>
      </w:r>
      <w:proofErr w:type="spellStart"/>
      <w:r>
        <w:rPr>
          <w:i/>
          <w:iCs/>
        </w:rPr>
        <w:t>Simmenthal</w:t>
      </w:r>
      <w:proofErr w:type="spellEnd"/>
      <w:r>
        <w:rPr>
          <w:i/>
          <w:iCs/>
        </w:rPr>
        <w:t xml:space="preserve">, </w:t>
      </w:r>
      <w:r>
        <w:t xml:space="preserve">other leading cases in which the Court set out the doctrine are </w:t>
      </w:r>
      <w:r>
        <w:rPr>
          <w:i/>
          <w:iCs/>
        </w:rPr>
        <w:t xml:space="preserve">Costa v ENEL, Internationale </w:t>
      </w:r>
      <w:proofErr w:type="spellStart"/>
      <w:r>
        <w:rPr>
          <w:i/>
          <w:iCs/>
        </w:rPr>
        <w:t>Handelsgesellschaft</w:t>
      </w:r>
      <w:proofErr w:type="spellEnd"/>
      <w:r>
        <w:rPr>
          <w:i/>
          <w:iCs/>
        </w:rPr>
        <w:t xml:space="preserve">, </w:t>
      </w:r>
      <w:r>
        <w:t xml:space="preserve">as well as human rights cases from the 1970s and more recently. Representative of dissenting views by national court are the Danish judgment in </w:t>
      </w:r>
      <w:proofErr w:type="spellStart"/>
      <w:r>
        <w:rPr>
          <w:i/>
          <w:iCs/>
        </w:rPr>
        <w:t>Ajos</w:t>
      </w:r>
      <w:proofErr w:type="spellEnd"/>
      <w:r>
        <w:rPr>
          <w:i/>
          <w:iCs/>
        </w:rPr>
        <w:t xml:space="preserve">; </w:t>
      </w:r>
      <w:r>
        <w:t xml:space="preserve">the Czech in </w:t>
      </w:r>
      <w:proofErr w:type="spellStart"/>
      <w:r w:rsidRPr="00FE2601">
        <w:rPr>
          <w:i/>
          <w:iCs/>
        </w:rPr>
        <w:t>Landtová</w:t>
      </w:r>
      <w:proofErr w:type="spellEnd"/>
      <w:r>
        <w:rPr>
          <w:i/>
          <w:iCs/>
        </w:rPr>
        <w:t xml:space="preserve">; </w:t>
      </w:r>
      <w:r>
        <w:t xml:space="preserve">the French in </w:t>
      </w:r>
      <w:r>
        <w:rPr>
          <w:i/>
          <w:iCs/>
        </w:rPr>
        <w:t>Cohn-</w:t>
      </w:r>
      <w:proofErr w:type="spellStart"/>
      <w:r>
        <w:rPr>
          <w:i/>
          <w:iCs/>
        </w:rPr>
        <w:t>Bendit</w:t>
      </w:r>
      <w:proofErr w:type="spellEnd"/>
      <w:r>
        <w:rPr>
          <w:i/>
          <w:iCs/>
        </w:rPr>
        <w:t xml:space="preserve">; </w:t>
      </w:r>
      <w:r>
        <w:t>the British (preferably with some indication that this is of limited relevance post</w:t>
      </w:r>
      <w:proofErr w:type="gramStart"/>
      <w:r>
        <w:t>-‘</w:t>
      </w:r>
      <w:proofErr w:type="gramEnd"/>
      <w:r>
        <w:t xml:space="preserve">Brexit’) in </w:t>
      </w:r>
      <w:r w:rsidRPr="00434152">
        <w:rPr>
          <w:i/>
          <w:iCs/>
        </w:rPr>
        <w:t>HS2</w:t>
      </w:r>
      <w:r>
        <w:rPr>
          <w:i/>
          <w:iCs/>
        </w:rPr>
        <w:t xml:space="preserve"> </w:t>
      </w:r>
      <w:r>
        <w:t>and</w:t>
      </w:r>
      <w:r w:rsidRPr="00434152">
        <w:rPr>
          <w:i/>
          <w:iCs/>
        </w:rPr>
        <w:t xml:space="preserve"> Pham</w:t>
      </w:r>
      <w:r>
        <w:rPr>
          <w:i/>
          <w:iCs/>
        </w:rPr>
        <w:t xml:space="preserve">, </w:t>
      </w:r>
      <w:r>
        <w:t xml:space="preserve">and older cases such as </w:t>
      </w:r>
      <w:r>
        <w:rPr>
          <w:i/>
          <w:iCs/>
        </w:rPr>
        <w:t xml:space="preserve">Bulmer v Bollinger. </w:t>
      </w:r>
      <w:r>
        <w:t xml:space="preserve">Most such challenges came from the German Federal Constitutional Court, in cases </w:t>
      </w:r>
      <w:r>
        <w:rPr>
          <w:i/>
          <w:iCs/>
        </w:rPr>
        <w:t xml:space="preserve">Solange I, II, Brunner (‘identity review’), Honeywell </w:t>
      </w:r>
      <w:r>
        <w:t xml:space="preserve">(re </w:t>
      </w:r>
      <w:r>
        <w:rPr>
          <w:i/>
          <w:iCs/>
        </w:rPr>
        <w:t>Mangold</w:t>
      </w:r>
      <w:r>
        <w:t xml:space="preserve">) and others, and most recently in </w:t>
      </w:r>
      <w:r>
        <w:rPr>
          <w:i/>
          <w:iCs/>
        </w:rPr>
        <w:t xml:space="preserve">Public Sector Purchasing Programme </w:t>
      </w:r>
      <w:r>
        <w:t xml:space="preserve">(5 May 2020). The latter prompted many candidates to cite </w:t>
      </w:r>
      <w:proofErr w:type="spellStart"/>
      <w:r>
        <w:t>Weatherill’s</w:t>
      </w:r>
      <w:proofErr w:type="spellEnd"/>
      <w:r>
        <w:t xml:space="preserve"> ‘bark/bite’ metaphor. </w:t>
      </w:r>
    </w:p>
    <w:p w14:paraId="70BD56A8" w14:textId="77777777" w:rsidR="004757C4" w:rsidRDefault="004757C4" w:rsidP="004757C4">
      <w:r>
        <w:t xml:space="preserve">Banding: a 2:2 was awarded if a candidate could not give a coherent account of either the EU or the national view. </w:t>
      </w:r>
    </w:p>
    <w:p w14:paraId="2AB25D60" w14:textId="77777777" w:rsidR="004757C4" w:rsidRDefault="004757C4" w:rsidP="004757C4">
      <w:r>
        <w:lastRenderedPageBreak/>
        <w:t xml:space="preserve">A script was placed in the lower half of 2:1 if it contained a simple re-telling of case law and maybe some literature. Such scripts placed emphasis only on human rights, while more recent issues (‘identity review’, ‘co-operation between courts’) were merely touched. </w:t>
      </w:r>
    </w:p>
    <w:p w14:paraId="17B4E68C" w14:textId="77777777" w:rsidR="004757C4" w:rsidRDefault="004757C4" w:rsidP="004757C4">
      <w:r>
        <w:t xml:space="preserve">Scripts in the upper half of 2:1 gave accurate summaries of the different </w:t>
      </w:r>
      <w:proofErr w:type="gramStart"/>
      <w:r>
        <w:t>positions, and</w:t>
      </w:r>
      <w:proofErr w:type="gramEnd"/>
      <w:r>
        <w:t xml:space="preserve"> reflected some of the debate concerning ‘pluralism’. Candidates in this bracket typically sided with someone else’s opinion whether one or both points of view are preferable </w:t>
      </w:r>
      <w:proofErr w:type="gramStart"/>
      <w:r>
        <w:t>or</w:t>
      </w:r>
      <w:proofErr w:type="gramEnd"/>
      <w:r>
        <w:t xml:space="preserve"> correct. </w:t>
      </w:r>
    </w:p>
    <w:p w14:paraId="11FD44F4" w14:textId="77777777" w:rsidR="004757C4" w:rsidRDefault="004757C4" w:rsidP="004757C4">
      <w:r>
        <w:t>1</w:t>
      </w:r>
      <w:r w:rsidRPr="0004009A">
        <w:rPr>
          <w:vertAlign w:val="superscript"/>
        </w:rPr>
        <w:t>st</w:t>
      </w:r>
      <w:r>
        <w:t xml:space="preserve"> class scripts engaged critically with the case law, national as well as EU, </w:t>
      </w:r>
      <w:proofErr w:type="gramStart"/>
      <w:r>
        <w:t>and also</w:t>
      </w:r>
      <w:proofErr w:type="gramEnd"/>
      <w:r>
        <w:t xml:space="preserve"> reflected in the same way on the literature, attempting to formulate an individual point of view. </w:t>
      </w:r>
    </w:p>
    <w:p w14:paraId="456CA099" w14:textId="77777777" w:rsidR="004757C4" w:rsidRPr="004757C4" w:rsidRDefault="004757C4" w:rsidP="004757C4">
      <w:pPr>
        <w:rPr>
          <w:szCs w:val="22"/>
        </w:rPr>
      </w:pPr>
      <w:r w:rsidRPr="004757C4">
        <w:rPr>
          <w:szCs w:val="22"/>
        </w:rPr>
        <w:t>Q5</w:t>
      </w:r>
    </w:p>
    <w:p w14:paraId="7359EA57" w14:textId="77777777" w:rsidR="004757C4" w:rsidRPr="00DA022F" w:rsidRDefault="004757C4" w:rsidP="004757C4">
      <w:r>
        <w:t xml:space="preserve">This question was of middling popularity. Starting point for the discussion could have been that </w:t>
      </w:r>
      <w:r w:rsidRPr="00DA022F">
        <w:t>Article 51(1) CFR does not say, “covered/governed/falls within the scope” as the Court used to</w:t>
      </w:r>
      <w:r>
        <w:t>,</w:t>
      </w:r>
      <w:r w:rsidRPr="00DA022F">
        <w:t xml:space="preserve"> </w:t>
      </w:r>
      <w:r>
        <w:t>but i</w:t>
      </w:r>
      <w:r w:rsidRPr="00DA022F">
        <w:t>nstead, “implementing” (also one of the Court’s earlier formulae).</w:t>
      </w:r>
      <w:r>
        <w:t xml:space="preserve"> Further clues could have been gleaned from the Charter’s preamble and from the explanations published with the Charter. </w:t>
      </w:r>
    </w:p>
    <w:p w14:paraId="5B8006DC" w14:textId="77777777" w:rsidR="004757C4" w:rsidRPr="00226CE3" w:rsidRDefault="004757C4" w:rsidP="004757C4">
      <w:r>
        <w:t xml:space="preserve">The question whether the various formulations lead to different results becomes relevant </w:t>
      </w:r>
      <w:r w:rsidRPr="00DA022F">
        <w:t xml:space="preserve">when a </w:t>
      </w:r>
      <w:r>
        <w:t>Member State</w:t>
      </w:r>
      <w:r w:rsidRPr="00DA022F">
        <w:t xml:space="preserve"> invokes derogations in the Treaty, or ‘mandatory requirements/imperative reasons in the public interest’</w:t>
      </w:r>
      <w:r>
        <w:t>. The Member State</w:t>
      </w:r>
      <w:r w:rsidRPr="00DA022F">
        <w:t xml:space="preserve"> then ‘act</w:t>
      </w:r>
      <w:r>
        <w:t>[s]</w:t>
      </w:r>
      <w:r w:rsidRPr="00DA022F">
        <w:t xml:space="preserve"> within the scope of the Treaty’, but</w:t>
      </w:r>
      <w:r>
        <w:t xml:space="preserve"> is it</w:t>
      </w:r>
      <w:r w:rsidRPr="00DA022F">
        <w:t xml:space="preserve"> ‘implementing’ EU-public policy, morality, health …? What does ‘implementation’ mean? </w:t>
      </w:r>
      <w:r>
        <w:t xml:space="preserve">It might mean the </w:t>
      </w:r>
      <w:r w:rsidRPr="00DA022F">
        <w:t xml:space="preserve">EU telling MSs </w:t>
      </w:r>
      <w:r w:rsidRPr="00DA022F">
        <w:rPr>
          <w:i/>
          <w:iCs/>
        </w:rPr>
        <w:t>that</w:t>
      </w:r>
      <w:r w:rsidRPr="00DA022F">
        <w:t xml:space="preserve"> they need to do something, and </w:t>
      </w:r>
      <w:r w:rsidRPr="00DA022F">
        <w:rPr>
          <w:i/>
          <w:iCs/>
        </w:rPr>
        <w:t xml:space="preserve">what </w:t>
      </w:r>
      <w:r w:rsidRPr="00DA022F">
        <w:t>it is</w:t>
      </w:r>
      <w:r>
        <w:t>, as in the</w:t>
      </w:r>
      <w:r w:rsidRPr="00DA022F">
        <w:t xml:space="preserve"> </w:t>
      </w:r>
      <w:r>
        <w:t>p</w:t>
      </w:r>
      <w:r w:rsidRPr="00DA022F">
        <w:t>aradigm case</w:t>
      </w:r>
      <w:r>
        <w:t xml:space="preserve"> of d</w:t>
      </w:r>
      <w:r w:rsidRPr="00DA022F">
        <w:t>irectives</w:t>
      </w:r>
      <w:r>
        <w:t>, or it might mean something else</w:t>
      </w:r>
      <w:r w:rsidRPr="00DA022F">
        <w:t>.</w:t>
      </w:r>
      <w:r>
        <w:t xml:space="preserve"> Candidates would here be rewarded for creative suggestions. The b</w:t>
      </w:r>
      <w:r w:rsidRPr="00DA022F">
        <w:t>ackground</w:t>
      </w:r>
      <w:r>
        <w:t xml:space="preserve"> is that</w:t>
      </w:r>
      <w:r w:rsidRPr="00DA022F">
        <w:t xml:space="preserve"> individuals </w:t>
      </w:r>
      <w:r>
        <w:t xml:space="preserve">are </w:t>
      </w:r>
      <w:r w:rsidRPr="00DA022F">
        <w:t xml:space="preserve">to enjoy the same protection against measures taken by national authorities as against EU institutions, when national authorities ‘stand in’ for the EU, </w:t>
      </w:r>
      <w:proofErr w:type="gramStart"/>
      <w:r w:rsidRPr="00DA022F">
        <w:t>i.e.</w:t>
      </w:r>
      <w:proofErr w:type="gramEnd"/>
      <w:r w:rsidRPr="00DA022F">
        <w:t xml:space="preserve"> when the substance of their action is largely determined by EU.</w:t>
      </w:r>
      <w:r>
        <w:t xml:space="preserve"> What is more, f</w:t>
      </w:r>
      <w:r w:rsidRPr="00DA022F">
        <w:t xml:space="preserve">undamental rights </w:t>
      </w:r>
      <w:r>
        <w:t xml:space="preserve">exist as laid down </w:t>
      </w:r>
      <w:r w:rsidRPr="00DA022F">
        <w:t xml:space="preserve">in the CFR, and alongside as ‘general principles’ of EU law, Article 6(3) TEU. </w:t>
      </w:r>
      <w:r>
        <w:t>The r</w:t>
      </w:r>
      <w:r w:rsidRPr="00DA022F">
        <w:t>elationship between the two</w:t>
      </w:r>
      <w:r>
        <w:t xml:space="preserve"> might be worth exploring in this context. Potential cases to be analysed here are</w:t>
      </w:r>
      <w:r w:rsidRPr="00DA022F">
        <w:t xml:space="preserve"> </w:t>
      </w:r>
      <w:proofErr w:type="spellStart"/>
      <w:r w:rsidRPr="00DA022F">
        <w:rPr>
          <w:i/>
          <w:iCs/>
        </w:rPr>
        <w:t>Åkerberg</w:t>
      </w:r>
      <w:proofErr w:type="spellEnd"/>
      <w:r w:rsidRPr="00DA022F">
        <w:rPr>
          <w:i/>
          <w:iCs/>
        </w:rPr>
        <w:t xml:space="preserve"> </w:t>
      </w:r>
      <w:proofErr w:type="spellStart"/>
      <w:r w:rsidRPr="00DA022F">
        <w:rPr>
          <w:i/>
          <w:iCs/>
        </w:rPr>
        <w:t>Fransson</w:t>
      </w:r>
      <w:proofErr w:type="spellEnd"/>
      <w:r w:rsidRPr="00DA022F">
        <w:rPr>
          <w:i/>
          <w:iCs/>
        </w:rPr>
        <w:t xml:space="preserve">, </w:t>
      </w:r>
      <w:proofErr w:type="spellStart"/>
      <w:r w:rsidRPr="00DA022F">
        <w:rPr>
          <w:i/>
          <w:iCs/>
        </w:rPr>
        <w:t>Egenberger</w:t>
      </w:r>
      <w:proofErr w:type="spellEnd"/>
      <w:r w:rsidRPr="00DA022F">
        <w:rPr>
          <w:i/>
          <w:iCs/>
        </w:rPr>
        <w:t xml:space="preserve">, </w:t>
      </w:r>
      <w:proofErr w:type="spellStart"/>
      <w:r w:rsidRPr="00DA022F">
        <w:rPr>
          <w:i/>
          <w:iCs/>
        </w:rPr>
        <w:t>Dano</w:t>
      </w:r>
      <w:proofErr w:type="spellEnd"/>
      <w:r w:rsidRPr="00DA022F">
        <w:rPr>
          <w:i/>
          <w:iCs/>
        </w:rPr>
        <w:t xml:space="preserve">, </w:t>
      </w:r>
      <w:proofErr w:type="spellStart"/>
      <w:r w:rsidRPr="00DA022F">
        <w:rPr>
          <w:i/>
          <w:iCs/>
        </w:rPr>
        <w:t>Alimanovic</w:t>
      </w:r>
      <w:proofErr w:type="spellEnd"/>
      <w:r>
        <w:rPr>
          <w:i/>
          <w:iCs/>
        </w:rPr>
        <w:t xml:space="preserve">, </w:t>
      </w:r>
      <w:r>
        <w:t xml:space="preserve">and </w:t>
      </w:r>
      <w:proofErr w:type="gramStart"/>
      <w:r>
        <w:t>a number of</w:t>
      </w:r>
      <w:proofErr w:type="gramEnd"/>
      <w:r>
        <w:t xml:space="preserve"> others from the reading list. </w:t>
      </w:r>
    </w:p>
    <w:p w14:paraId="2262387D" w14:textId="77777777" w:rsidR="004757C4" w:rsidRPr="004757C4" w:rsidRDefault="004757C4" w:rsidP="004757C4">
      <w:pPr>
        <w:rPr>
          <w:rFonts w:cs="Arial"/>
          <w:sz w:val="32"/>
          <w:szCs w:val="32"/>
        </w:rPr>
      </w:pPr>
      <w:r w:rsidRPr="004757C4">
        <w:rPr>
          <w:szCs w:val="22"/>
        </w:rPr>
        <w:t>Banding:</w:t>
      </w:r>
      <w:r>
        <w:rPr>
          <w:sz w:val="32"/>
          <w:szCs w:val="32"/>
        </w:rPr>
        <w:t xml:space="preserve"> </w:t>
      </w:r>
      <w:r w:rsidRPr="004757C4">
        <w:rPr>
          <w:rFonts w:eastAsiaTheme="majorEastAsia" w:cs="Arial"/>
          <w:color w:val="000000" w:themeColor="text1"/>
        </w:rPr>
        <w:t xml:space="preserve">scripts were classed as 2:2 if the question was only superficially understood, if there was no more than incoherent re-telling of the cases, or little awareness of the potential conflict between ‘old’ and ‘new’ formulae. </w:t>
      </w:r>
    </w:p>
    <w:p w14:paraId="2D1DEB27" w14:textId="77777777" w:rsidR="004757C4" w:rsidRPr="004757C4" w:rsidRDefault="004757C4" w:rsidP="004757C4">
      <w:pPr>
        <w:rPr>
          <w:rFonts w:eastAsiaTheme="majorEastAsia" w:cs="Arial"/>
          <w:color w:val="000000" w:themeColor="text1"/>
        </w:rPr>
      </w:pPr>
      <w:r w:rsidRPr="004757C4">
        <w:rPr>
          <w:rFonts w:eastAsiaTheme="majorEastAsia" w:cs="Arial"/>
          <w:color w:val="000000" w:themeColor="text1"/>
        </w:rPr>
        <w:t xml:space="preserve">Scripts in the lower half of 2:1 displayed little more than a re-telling of cases, and an acknowledgement that there are different formulations. </w:t>
      </w:r>
    </w:p>
    <w:p w14:paraId="6FD3058A" w14:textId="77777777" w:rsidR="004757C4" w:rsidRPr="004757C4" w:rsidRDefault="004757C4" w:rsidP="004757C4">
      <w:pPr>
        <w:rPr>
          <w:rFonts w:eastAsiaTheme="majorEastAsia" w:cs="Arial"/>
          <w:color w:val="000000" w:themeColor="text1"/>
        </w:rPr>
      </w:pPr>
      <w:r w:rsidRPr="004757C4">
        <w:rPr>
          <w:rFonts w:eastAsiaTheme="majorEastAsia" w:cs="Arial"/>
          <w:color w:val="000000" w:themeColor="text1"/>
        </w:rPr>
        <w:t xml:space="preserve">In scripts in the upper half of 2:1, there was a more developed understanding of the case law and the conflict, but no opinions or criticism that go beyond the case law or literature. Some background in the development of EU human rights law was in evidence. Candidates might see the case of </w:t>
      </w:r>
      <w:proofErr w:type="gramStart"/>
      <w:r w:rsidRPr="004757C4">
        <w:rPr>
          <w:rFonts w:eastAsiaTheme="majorEastAsia" w:cs="Arial"/>
          <w:color w:val="000000" w:themeColor="text1"/>
        </w:rPr>
        <w:t>Directives, and</w:t>
      </w:r>
      <w:proofErr w:type="gramEnd"/>
      <w:r w:rsidRPr="004757C4">
        <w:rPr>
          <w:rFonts w:eastAsiaTheme="majorEastAsia" w:cs="Arial"/>
          <w:color w:val="000000" w:themeColor="text1"/>
        </w:rPr>
        <w:t xml:space="preserve"> note Article 6(3) TEU. </w:t>
      </w:r>
    </w:p>
    <w:p w14:paraId="0D887F30" w14:textId="77777777" w:rsidR="004757C4" w:rsidRPr="004757C4" w:rsidRDefault="004757C4" w:rsidP="004757C4">
      <w:pPr>
        <w:rPr>
          <w:rFonts w:eastAsiaTheme="majorEastAsia" w:cs="Arial"/>
          <w:color w:val="000000" w:themeColor="text1"/>
        </w:rPr>
      </w:pPr>
      <w:r w:rsidRPr="004757C4">
        <w:rPr>
          <w:rFonts w:eastAsiaTheme="majorEastAsia" w:cs="Arial"/>
          <w:color w:val="000000" w:themeColor="text1"/>
        </w:rPr>
        <w:lastRenderedPageBreak/>
        <w:t>1</w:t>
      </w:r>
      <w:r w:rsidRPr="004757C4">
        <w:rPr>
          <w:rFonts w:eastAsiaTheme="majorEastAsia" w:cs="Arial"/>
          <w:color w:val="000000" w:themeColor="text1"/>
          <w:vertAlign w:val="superscript"/>
        </w:rPr>
        <w:t>st</w:t>
      </w:r>
      <w:r w:rsidRPr="004757C4">
        <w:rPr>
          <w:rFonts w:eastAsiaTheme="majorEastAsia" w:cs="Arial"/>
          <w:color w:val="000000" w:themeColor="text1"/>
        </w:rPr>
        <w:t xml:space="preserve"> class scripts explained the </w:t>
      </w:r>
      <w:proofErr w:type="gramStart"/>
      <w:r w:rsidRPr="004757C4">
        <w:rPr>
          <w:rFonts w:eastAsiaTheme="majorEastAsia" w:cs="Arial"/>
          <w:color w:val="000000" w:themeColor="text1"/>
        </w:rPr>
        <w:t>conflict, and</w:t>
      </w:r>
      <w:proofErr w:type="gramEnd"/>
      <w:r w:rsidRPr="004757C4">
        <w:rPr>
          <w:rFonts w:eastAsiaTheme="majorEastAsia" w:cs="Arial"/>
          <w:color w:val="000000" w:themeColor="text1"/>
        </w:rPr>
        <w:t xml:space="preserve"> had critical opinions on case law and literature. </w:t>
      </w:r>
    </w:p>
    <w:p w14:paraId="20E2B1C4" w14:textId="77777777" w:rsidR="004757C4" w:rsidRDefault="004757C4" w:rsidP="004757C4">
      <w:r>
        <w:t>Q6</w:t>
      </w:r>
    </w:p>
    <w:p w14:paraId="33CA7F60" w14:textId="77777777" w:rsidR="004757C4" w:rsidRPr="00B552CD" w:rsidRDefault="004757C4" w:rsidP="004757C4">
      <w:r>
        <w:t xml:space="preserve">This was this year’s variation on the evergreen question concerning ‘direct effect, indirect effect, incidental effect, general principles, </w:t>
      </w:r>
      <w:r>
        <w:rPr>
          <w:i/>
          <w:iCs/>
        </w:rPr>
        <w:t>Francovich</w:t>
      </w:r>
      <w:r>
        <w:t xml:space="preserve">’, and a very popular question, too. Starting point is the judgment in </w:t>
      </w:r>
      <w:r>
        <w:rPr>
          <w:i/>
          <w:iCs/>
        </w:rPr>
        <w:t xml:space="preserve">Marshall, </w:t>
      </w:r>
      <w:r>
        <w:t xml:space="preserve">as confirmed in </w:t>
      </w:r>
      <w:r>
        <w:rPr>
          <w:i/>
          <w:iCs/>
        </w:rPr>
        <w:t xml:space="preserve">Faccini Dori: </w:t>
      </w:r>
      <w:r>
        <w:t xml:space="preserve">no horizontal direct effect of Directives. Directives can only be invoked by individuals vis-à-vis Member States. Some </w:t>
      </w:r>
      <w:proofErr w:type="gramStart"/>
      <w:r>
        <w:t>student</w:t>
      </w:r>
      <w:proofErr w:type="gramEnd"/>
      <w:r>
        <w:t xml:space="preserve"> also drew a distinction between ‘objective’ and ‘subjective’ direct effect. The difference did not always become entirely clear. The traditional account in the literature has it that the Court introduced several </w:t>
      </w:r>
      <w:proofErr w:type="gramStart"/>
      <w:r>
        <w:t>work-arounds</w:t>
      </w:r>
      <w:proofErr w:type="gramEnd"/>
      <w:r>
        <w:t xml:space="preserve"> to </w:t>
      </w:r>
      <w:r>
        <w:rPr>
          <w:i/>
          <w:iCs/>
        </w:rPr>
        <w:t xml:space="preserve">Marshall. </w:t>
      </w:r>
      <w:r>
        <w:t xml:space="preserve">Given how well-trodden this area is, the challenge for candidates was to say anything remotely original. </w:t>
      </w:r>
    </w:p>
    <w:p w14:paraId="7A85512D" w14:textId="77777777" w:rsidR="004757C4" w:rsidRDefault="004757C4" w:rsidP="004757C4">
      <w:r>
        <w:rPr>
          <w:i/>
          <w:iCs/>
        </w:rPr>
        <w:t xml:space="preserve">Francovich </w:t>
      </w:r>
      <w:r>
        <w:t xml:space="preserve">was not central to the question, because the question focussed on legal relationships between individuals. Nonetheless, </w:t>
      </w:r>
      <w:r>
        <w:rPr>
          <w:i/>
          <w:iCs/>
        </w:rPr>
        <w:t xml:space="preserve">Francovich </w:t>
      </w:r>
      <w:r>
        <w:t xml:space="preserve">completes the picture. First-class answers might even ponder whether and with what (if any) modifications </w:t>
      </w:r>
      <w:r>
        <w:rPr>
          <w:i/>
          <w:iCs/>
        </w:rPr>
        <w:t xml:space="preserve">Francovich </w:t>
      </w:r>
      <w:r>
        <w:t xml:space="preserve">applies to individuals, should one want to extend direct effect to relations between them, and what clues in this respect the Court’s judgments in </w:t>
      </w:r>
      <w:proofErr w:type="spellStart"/>
      <w:r>
        <w:rPr>
          <w:i/>
          <w:iCs/>
        </w:rPr>
        <w:t>Defrenne</w:t>
      </w:r>
      <w:proofErr w:type="spellEnd"/>
      <w:r>
        <w:rPr>
          <w:i/>
          <w:iCs/>
        </w:rPr>
        <w:t xml:space="preserve"> </w:t>
      </w:r>
      <w:r>
        <w:t xml:space="preserve">and in </w:t>
      </w:r>
      <w:r>
        <w:rPr>
          <w:i/>
          <w:iCs/>
        </w:rPr>
        <w:t xml:space="preserve">Courage v </w:t>
      </w:r>
      <w:proofErr w:type="spellStart"/>
      <w:r>
        <w:rPr>
          <w:i/>
          <w:iCs/>
        </w:rPr>
        <w:t>Crehan</w:t>
      </w:r>
      <w:proofErr w:type="spellEnd"/>
      <w:r>
        <w:rPr>
          <w:i/>
          <w:iCs/>
        </w:rPr>
        <w:t xml:space="preserve"> </w:t>
      </w:r>
      <w:r>
        <w:t xml:space="preserve">hold.  </w:t>
      </w:r>
    </w:p>
    <w:p w14:paraId="6B638FC4" w14:textId="77777777" w:rsidR="004757C4" w:rsidRDefault="004757C4" w:rsidP="004757C4">
      <w:r>
        <w:t xml:space="preserve">Banding: A 2:2 was awarded if a candidate did not even parrot the standard account in the literature without flaws. </w:t>
      </w:r>
    </w:p>
    <w:p w14:paraId="658F4AD6" w14:textId="77777777" w:rsidR="004757C4" w:rsidRDefault="004757C4" w:rsidP="004757C4">
      <w:r>
        <w:t xml:space="preserve">Scripts in the lower half of 2:1 drew on some case law, but merely re-told this without much application or reflection. </w:t>
      </w:r>
    </w:p>
    <w:p w14:paraId="4536DEAA" w14:textId="77777777" w:rsidR="004757C4" w:rsidRDefault="004757C4" w:rsidP="004757C4">
      <w:r>
        <w:t xml:space="preserve">Scripts placed in the upper half of 2:1 gave a coherent account of the traditional interpretation in the literature, illustrated with coherently summarised case law. </w:t>
      </w:r>
    </w:p>
    <w:p w14:paraId="65090150" w14:textId="77777777" w:rsidR="004757C4" w:rsidRDefault="004757C4" w:rsidP="004757C4">
      <w:r>
        <w:t>1</w:t>
      </w:r>
      <w:r w:rsidRPr="001163D4">
        <w:rPr>
          <w:vertAlign w:val="superscript"/>
        </w:rPr>
        <w:t>st</w:t>
      </w:r>
      <w:r>
        <w:t xml:space="preserve"> class scripts articulated critical opinions on case law and literature, regardless of the position adopted. </w:t>
      </w:r>
    </w:p>
    <w:p w14:paraId="0B28E87A" w14:textId="77777777" w:rsidR="004757C4" w:rsidRDefault="004757C4" w:rsidP="004757C4">
      <w:r>
        <w:t>Q7</w:t>
      </w:r>
    </w:p>
    <w:p w14:paraId="3B6B4A9D" w14:textId="77777777" w:rsidR="004757C4" w:rsidRDefault="004757C4" w:rsidP="004757C4">
      <w:r>
        <w:t>‘</w:t>
      </w:r>
      <w:r w:rsidRPr="002970C7">
        <w:t>Judicial hierarchy</w:t>
      </w:r>
      <w:r>
        <w:t>’ – starting point is Article 19(1), 2</w:t>
      </w:r>
      <w:r w:rsidRPr="002970C7">
        <w:rPr>
          <w:vertAlign w:val="superscript"/>
        </w:rPr>
        <w:t>nd</w:t>
      </w:r>
      <w:r>
        <w:t xml:space="preserve"> sentence TEU: “[The CJEU] shall ensure that in the interpretation and application of the Treaties the law is observed.” The hierarchy comes from the binding effect </w:t>
      </w:r>
      <w:proofErr w:type="spellStart"/>
      <w:r>
        <w:rPr>
          <w:i/>
          <w:iCs/>
        </w:rPr>
        <w:t>erga</w:t>
      </w:r>
      <w:proofErr w:type="spellEnd"/>
      <w:r>
        <w:rPr>
          <w:i/>
          <w:iCs/>
        </w:rPr>
        <w:t xml:space="preserve"> </w:t>
      </w:r>
      <w:proofErr w:type="spellStart"/>
      <w:r>
        <w:rPr>
          <w:i/>
          <w:iCs/>
        </w:rPr>
        <w:t>omnes</w:t>
      </w:r>
      <w:proofErr w:type="spellEnd"/>
      <w:r>
        <w:rPr>
          <w:i/>
          <w:iCs/>
        </w:rPr>
        <w:t xml:space="preserve"> </w:t>
      </w:r>
      <w:r>
        <w:t xml:space="preserve">of the Court’s rulings under Article 267. This is not a hierarchy in the traditional sense, though: CJEU can quash judgments at first instance by the General Court, but not by any national court. Only in proceedings for interim relief can the CJEU give instructions to the parties to a dispute before the CJEU, Article 279 TFEU and Article 160(1), (2) of the Rules of Procedure. This does not apply to Article 267. </w:t>
      </w:r>
    </w:p>
    <w:p w14:paraId="1E1A4F04" w14:textId="77777777" w:rsidR="004757C4" w:rsidRDefault="004757C4" w:rsidP="004757C4">
      <w:r>
        <w:lastRenderedPageBreak/>
        <w:t xml:space="preserve">The Court is not in that sense an ‘apex’ court. Nevertheless, its interpretation is the final word when it comes to EU law. Candidates may (again) mention the </w:t>
      </w:r>
      <w:r w:rsidRPr="00641E46">
        <w:rPr>
          <w:i/>
          <w:iCs/>
        </w:rPr>
        <w:t>PSPP</w:t>
      </w:r>
      <w:r>
        <w:t xml:space="preserve"> judgment of the German Federal Constitutional Court of 4 May 2020 here, and maybe past criticism of, say, </w:t>
      </w:r>
      <w:r w:rsidRPr="00641E46">
        <w:rPr>
          <w:i/>
          <w:iCs/>
        </w:rPr>
        <w:t>Mangold</w:t>
      </w:r>
      <w:r>
        <w:t xml:space="preserve">. </w:t>
      </w:r>
    </w:p>
    <w:p w14:paraId="72560818" w14:textId="77777777" w:rsidR="004757C4" w:rsidRDefault="004757C4" w:rsidP="004757C4">
      <w:r>
        <w:t>‘Ultimate Constitutional Court for the EU” – ‘‘</w:t>
      </w:r>
      <w:r w:rsidRPr="00C04CA8">
        <w:t>Constitutional Court</w:t>
      </w:r>
      <w:r>
        <w:t>’ invites reflection the Treaties as constitutions (</w:t>
      </w:r>
      <w:r>
        <w:rPr>
          <w:i/>
          <w:iCs/>
        </w:rPr>
        <w:t>Les Verts</w:t>
      </w:r>
      <w:r>
        <w:t>), and on the nature of the EU as not quite a state but not a traditional international organisation, either (</w:t>
      </w:r>
      <w:proofErr w:type="spellStart"/>
      <w:r>
        <w:rPr>
          <w:i/>
          <w:iCs/>
        </w:rPr>
        <w:t>Staatenverbund</w:t>
      </w:r>
      <w:proofErr w:type="spellEnd"/>
      <w:r>
        <w:rPr>
          <w:i/>
          <w:iCs/>
        </w:rPr>
        <w:t xml:space="preserve"> </w:t>
      </w:r>
      <w:r>
        <w:t xml:space="preserve">was the German FCC’s neologism in </w:t>
      </w:r>
      <w:r>
        <w:rPr>
          <w:i/>
          <w:iCs/>
        </w:rPr>
        <w:t>Brunner/Maastricht</w:t>
      </w:r>
      <w:r>
        <w:t xml:space="preserve">). </w:t>
      </w:r>
      <w:r w:rsidRPr="00C04CA8">
        <w:t>‘</w:t>
      </w:r>
      <w:r>
        <w:t>Ul</w:t>
      </w:r>
      <w:r w:rsidRPr="00C04CA8">
        <w:t>timate</w:t>
      </w:r>
      <w:r>
        <w:t xml:space="preserve">’ is correct within the sphere of the EU </w:t>
      </w:r>
      <w:proofErr w:type="gramStart"/>
      <w:r>
        <w:t>alone, but</w:t>
      </w:r>
      <w:proofErr w:type="gramEnd"/>
      <w:r>
        <w:t xml:space="preserve"> has to be taken with the above qualification when it comes to the Member States.  </w:t>
      </w:r>
    </w:p>
    <w:p w14:paraId="69817109" w14:textId="77777777" w:rsidR="004757C4" w:rsidRDefault="004757C4" w:rsidP="004757C4">
      <w:r>
        <w:t xml:space="preserve">‘Assisted by national courts’ – not so much in the interpretation of EU law, but in its application. </w:t>
      </w:r>
    </w:p>
    <w:p w14:paraId="25DA4AE6" w14:textId="77777777" w:rsidR="004757C4" w:rsidRDefault="004757C4" w:rsidP="004757C4">
      <w:r>
        <w:t xml:space="preserve">Regarding </w:t>
      </w:r>
      <w:r w:rsidRPr="002447EF">
        <w:t>interpretation</w:t>
      </w:r>
      <w:r>
        <w:t xml:space="preserve">, candidates may talk about which national courts are under duty to refer. From there it is not far to </w:t>
      </w:r>
      <w:r>
        <w:rPr>
          <w:i/>
          <w:iCs/>
        </w:rPr>
        <w:t xml:space="preserve">CILFIT </w:t>
      </w:r>
      <w:r>
        <w:t xml:space="preserve">but also to the inevitable </w:t>
      </w:r>
      <w:proofErr w:type="spellStart"/>
      <w:r>
        <w:rPr>
          <w:i/>
          <w:iCs/>
        </w:rPr>
        <w:t>Foglia</w:t>
      </w:r>
      <w:proofErr w:type="spellEnd"/>
      <w:r>
        <w:rPr>
          <w:i/>
          <w:iCs/>
        </w:rPr>
        <w:t xml:space="preserve"> v </w:t>
      </w:r>
      <w:proofErr w:type="spellStart"/>
      <w:r>
        <w:rPr>
          <w:i/>
          <w:iCs/>
        </w:rPr>
        <w:t>Novello</w:t>
      </w:r>
      <w:proofErr w:type="spellEnd"/>
      <w:r>
        <w:rPr>
          <w:i/>
          <w:iCs/>
        </w:rPr>
        <w:t xml:space="preserve"> </w:t>
      </w:r>
      <w:r>
        <w:t xml:space="preserve">(some may yet again draw on </w:t>
      </w:r>
      <w:r>
        <w:rPr>
          <w:i/>
          <w:iCs/>
        </w:rPr>
        <w:t xml:space="preserve">Mangold, </w:t>
      </w:r>
      <w:r>
        <w:t>another case in which the parties were in complete agreement with each other as to the desired outcome)</w:t>
      </w:r>
      <w:r>
        <w:rPr>
          <w:i/>
          <w:iCs/>
        </w:rPr>
        <w:t>.</w:t>
      </w:r>
      <w:r>
        <w:t xml:space="preserve"> There may be discussion of the ‘relationship of cooperation’ (</w:t>
      </w:r>
      <w:r>
        <w:rPr>
          <w:i/>
          <w:iCs/>
        </w:rPr>
        <w:t>Pham, HS2</w:t>
      </w:r>
      <w:r w:rsidRPr="009D4A81">
        <w:t>)</w:t>
      </w:r>
      <w:r>
        <w:t xml:space="preserve"> between the CJEU and national courts.</w:t>
      </w:r>
      <w:r>
        <w:rPr>
          <w:i/>
          <w:iCs/>
        </w:rPr>
        <w:t xml:space="preserve"> Pfeiffer </w:t>
      </w:r>
      <w:r>
        <w:t xml:space="preserve">(and more generally, ‘indirect effect’) may be cited as examples of national courts’ interpreting EU law (as the first step towards a conforming interpretation of national law). </w:t>
      </w:r>
    </w:p>
    <w:p w14:paraId="42783139" w14:textId="77777777" w:rsidR="004757C4" w:rsidRDefault="004757C4" w:rsidP="004757C4">
      <w:r>
        <w:t xml:space="preserve">When it comes to application, supremacy, human rights, and direct effect are likely to be mentioned. Judicial review under Article 267(b)/263, and EU administrative law might also crop up. It is for the national courts to grant interim relief when the CJEU cannot (see above). </w:t>
      </w:r>
    </w:p>
    <w:p w14:paraId="17877959" w14:textId="77777777" w:rsidR="004757C4" w:rsidRDefault="004757C4" w:rsidP="004757C4">
      <w:r>
        <w:t>Banding: Scripts were classed as 2:2 if there was a lack of coherence, and merely a patchy understanding of both Article 267 and the jurisprudence.</w:t>
      </w:r>
    </w:p>
    <w:p w14:paraId="43470EB1" w14:textId="77777777" w:rsidR="004757C4" w:rsidRDefault="004757C4" w:rsidP="004757C4">
      <w:r>
        <w:t xml:space="preserve">Scripts in the lower half of 2:1 merely retold some cases (as it turned out, </w:t>
      </w:r>
      <w:proofErr w:type="spellStart"/>
      <w:r>
        <w:rPr>
          <w:i/>
          <w:iCs/>
        </w:rPr>
        <w:t>Foglia</w:t>
      </w:r>
      <w:proofErr w:type="spellEnd"/>
      <w:r>
        <w:rPr>
          <w:i/>
          <w:iCs/>
        </w:rPr>
        <w:t xml:space="preserve"> v </w:t>
      </w:r>
      <w:proofErr w:type="spellStart"/>
      <w:r>
        <w:rPr>
          <w:i/>
          <w:iCs/>
        </w:rPr>
        <w:t>Novello</w:t>
      </w:r>
      <w:proofErr w:type="spellEnd"/>
      <w:r>
        <w:rPr>
          <w:i/>
          <w:iCs/>
        </w:rPr>
        <w:t xml:space="preserve"> </w:t>
      </w:r>
      <w:r>
        <w:t xml:space="preserve">featured disproportionately, and few had thought much about the judgment), with little or no discussion of the quote, never mind questioning of any of its assumptions. </w:t>
      </w:r>
    </w:p>
    <w:p w14:paraId="180B8175" w14:textId="77777777" w:rsidR="004757C4" w:rsidRDefault="004757C4" w:rsidP="004757C4">
      <w:r>
        <w:t xml:space="preserve">Scripts ranked in the upper half of 2:1 gave a coherent account of the case law under Article 267, and how this relates to the quote, but little critical discussion. Nevertheless, such scripts identified </w:t>
      </w:r>
      <w:proofErr w:type="gramStart"/>
      <w:r>
        <w:t>a number of</w:t>
      </w:r>
      <w:proofErr w:type="gramEnd"/>
      <w:r>
        <w:t xml:space="preserve"> the above points.</w:t>
      </w:r>
    </w:p>
    <w:p w14:paraId="0C72213A" w14:textId="77777777" w:rsidR="004757C4" w:rsidRDefault="004757C4" w:rsidP="004757C4">
      <w:r>
        <w:t>1</w:t>
      </w:r>
      <w:r w:rsidRPr="00782DA6">
        <w:rPr>
          <w:vertAlign w:val="superscript"/>
        </w:rPr>
        <w:t>st</w:t>
      </w:r>
      <w:r>
        <w:t xml:space="preserve"> class scripts engaged in a critical </w:t>
      </w:r>
      <w:proofErr w:type="gramStart"/>
      <w:r>
        <w:t>discussion, and</w:t>
      </w:r>
      <w:proofErr w:type="gramEnd"/>
      <w:r>
        <w:t xml:space="preserve"> identified a greater number of the above points. </w:t>
      </w:r>
    </w:p>
    <w:p w14:paraId="7D9746CE" w14:textId="77777777" w:rsidR="004757C4" w:rsidRDefault="004757C4" w:rsidP="004757C4">
      <w:r>
        <w:t>Q8</w:t>
      </w:r>
    </w:p>
    <w:p w14:paraId="2F843B35" w14:textId="77777777" w:rsidR="004757C4" w:rsidRDefault="004757C4" w:rsidP="004757C4">
      <w:r>
        <w:lastRenderedPageBreak/>
        <w:t xml:space="preserve">This question was another </w:t>
      </w:r>
      <w:proofErr w:type="gramStart"/>
      <w:r>
        <w:t>classic, and</w:t>
      </w:r>
      <w:proofErr w:type="gramEnd"/>
      <w:r>
        <w:t xml:space="preserve"> found many takers. This year, it came in the guise of a semi-problem question. This required candidates to pay close attention to the quote. As virtually all students had at one point written a tutorial essay on this topic, a lot of ‘copy and paste’ occurred, often at the expense of attention to the question. Even those who were aware of the nature of the question faced the challenge of grafting some sort of engagement with the quote on a text that as originally written was wholly unrelated to the question.  </w:t>
      </w:r>
    </w:p>
    <w:p w14:paraId="7EE02928" w14:textId="77777777" w:rsidR="004757C4" w:rsidRDefault="004757C4" w:rsidP="004757C4">
      <w:r>
        <w:t xml:space="preserve">Starting point is the </w:t>
      </w:r>
      <w:proofErr w:type="spellStart"/>
      <w:r w:rsidRPr="00131A1F">
        <w:rPr>
          <w:i/>
          <w:iCs/>
        </w:rPr>
        <w:t>Plaumann</w:t>
      </w:r>
      <w:proofErr w:type="spellEnd"/>
      <w:r>
        <w:rPr>
          <w:i/>
          <w:iCs/>
        </w:rPr>
        <w:t xml:space="preserve"> </w:t>
      </w:r>
      <w:r>
        <w:t xml:space="preserve">formula. The predominant take was that this is too restrictive, with Craig &amp; de </w:t>
      </w:r>
      <w:proofErr w:type="spellStart"/>
      <w:r>
        <w:t>Búrca</w:t>
      </w:r>
      <w:proofErr w:type="spellEnd"/>
      <w:r>
        <w:t xml:space="preserve"> and AG Jacobs, especially his opinion in </w:t>
      </w:r>
      <w:r>
        <w:rPr>
          <w:i/>
          <w:iCs/>
        </w:rPr>
        <w:t xml:space="preserve">UPA, </w:t>
      </w:r>
      <w:r>
        <w:t>as the most prominent witnesses</w:t>
      </w:r>
      <w:r>
        <w:rPr>
          <w:i/>
          <w:iCs/>
        </w:rPr>
        <w:t xml:space="preserve">. </w:t>
      </w:r>
      <w:r>
        <w:t>Common arguments are that the more people are affected, the less likely it will be that the measure can be challenged by each (the ‘mirage’ criticism), and that whole factories cannot be built over night (the ‘economic’ criticism). Arguments of democratic accountability (</w:t>
      </w:r>
      <w:r w:rsidRPr="00780FA3">
        <w:t>AG</w:t>
      </w:r>
      <w:r>
        <w:rPr>
          <w:i/>
          <w:iCs/>
        </w:rPr>
        <w:t xml:space="preserve"> </w:t>
      </w:r>
      <w:proofErr w:type="spellStart"/>
      <w:r w:rsidRPr="00780FA3">
        <w:t>Kokott</w:t>
      </w:r>
      <w:proofErr w:type="spellEnd"/>
      <w:r>
        <w:t xml:space="preserve">) were also raised. </w:t>
      </w:r>
      <w:r w:rsidRPr="00780FA3">
        <w:t>Alternatives</w:t>
      </w:r>
      <w:r>
        <w:t xml:space="preserve"> to </w:t>
      </w:r>
      <w:proofErr w:type="spellStart"/>
      <w:r>
        <w:rPr>
          <w:i/>
          <w:iCs/>
        </w:rPr>
        <w:t>Plaumann</w:t>
      </w:r>
      <w:proofErr w:type="spellEnd"/>
      <w:r>
        <w:rPr>
          <w:i/>
          <w:iCs/>
        </w:rPr>
        <w:t xml:space="preserve"> </w:t>
      </w:r>
      <w:r>
        <w:t xml:space="preserve">that candidates suggested mostly their cues from AG Jacobs’ ‘substantial adverse effect’ formula and the AG’s analysis of the shortcomings of Article 267(b). </w:t>
      </w:r>
    </w:p>
    <w:p w14:paraId="7897D99D" w14:textId="77777777" w:rsidR="004757C4" w:rsidRDefault="004757C4" w:rsidP="004757C4">
      <w:r>
        <w:t xml:space="preserve">The quote sits awkwardly with all this. Its emphasis is on rights of participation in the adoption of the measure that the individual subsequently seeks to challenge. It has a precursor in, for instance, </w:t>
      </w:r>
      <w:proofErr w:type="spellStart"/>
      <w:r>
        <w:rPr>
          <w:i/>
          <w:iCs/>
        </w:rPr>
        <w:t>Binderer</w:t>
      </w:r>
      <w:proofErr w:type="spellEnd"/>
      <w:r>
        <w:rPr>
          <w:i/>
          <w:iCs/>
        </w:rPr>
        <w:t xml:space="preserve">. </w:t>
      </w:r>
      <w:r>
        <w:t xml:space="preserve">This procedural angle came as a surprise to those who think, with the bulk of the literature, that standing is all about substantive disadvantages being visited on individuals. The </w:t>
      </w:r>
      <w:proofErr w:type="spellStart"/>
      <w:r w:rsidRPr="00780FA3">
        <w:rPr>
          <w:i/>
          <w:iCs/>
        </w:rPr>
        <w:t>Plaumann</w:t>
      </w:r>
      <w:proofErr w:type="spellEnd"/>
      <w:r>
        <w:t xml:space="preserve"> formula does not necessitate such a reading when it refers to ‘attributes peculiar to [the applicant]’ and ‘circumstances in which they are differentiated from all other persons’, so that they are ‘distinguished individually just as in the case of the person addressed’. </w:t>
      </w:r>
    </w:p>
    <w:p w14:paraId="7484666D" w14:textId="77777777" w:rsidR="004757C4" w:rsidRDefault="004757C4" w:rsidP="004757C4">
      <w:r>
        <w:t xml:space="preserve">The question regarding the Treaty of Lisbon invited a discussion of the new heading, “… against a regulatory act which is of direct concern to them and does not entail implementing measures.” From the case law </w:t>
      </w:r>
      <w:proofErr w:type="gramStart"/>
      <w:r>
        <w:t>it is clear that this</w:t>
      </w:r>
      <w:proofErr w:type="gramEnd"/>
      <w:r>
        <w:t xml:space="preserve"> refers to non-legislative acts as in Article 290(1). Whether the applicants in </w:t>
      </w:r>
      <w:r>
        <w:rPr>
          <w:i/>
          <w:iCs/>
        </w:rPr>
        <w:t xml:space="preserve">Greenpeace </w:t>
      </w:r>
      <w:r>
        <w:t xml:space="preserve">would fare better now depends on whether the ERDF grants financial assistance by way of delegated, non-legislative acts. </w:t>
      </w:r>
    </w:p>
    <w:p w14:paraId="21C822D9" w14:textId="77777777" w:rsidR="004757C4" w:rsidRDefault="004757C4" w:rsidP="004757C4">
      <w:r>
        <w:t xml:space="preserve">Banding: a coherent and mostly correct account of the rules on standing was the minimum for a lower 2:1. For at least very good (upper 2:1) answers it was necessary to place the quote in the big picture of the jurisprudence, with some awareness of the interplay between Articles 263, 277, and 267(b), as well as (for the second question) of Article 290(1). (A common misunderstanding regarding the latter provision was that the source of the rule is not the Treaty article, but the judgment in </w:t>
      </w:r>
      <w:r>
        <w:rPr>
          <w:i/>
          <w:iCs/>
        </w:rPr>
        <w:t>Inuit</w:t>
      </w:r>
      <w:r>
        <w:t>)</w:t>
      </w:r>
      <w:r>
        <w:rPr>
          <w:i/>
          <w:iCs/>
        </w:rPr>
        <w:t>.</w:t>
      </w:r>
      <w:r>
        <w:t xml:space="preserve"> Outstanding answers (1</w:t>
      </w:r>
      <w:r w:rsidRPr="00C5290F">
        <w:rPr>
          <w:vertAlign w:val="superscript"/>
        </w:rPr>
        <w:t>st</w:t>
      </w:r>
      <w:r>
        <w:t xml:space="preserve"> class) will use the opportunity to reflect critically on the interpretation that they find in the literature. </w:t>
      </w:r>
    </w:p>
    <w:p w14:paraId="56A54BC6" w14:textId="77777777" w:rsidR="004757C4" w:rsidRDefault="004757C4" w:rsidP="004757C4">
      <w:r>
        <w:t>Q9</w:t>
      </w:r>
    </w:p>
    <w:p w14:paraId="1E58D854" w14:textId="77777777" w:rsidR="004757C4" w:rsidRDefault="004757C4" w:rsidP="004757C4">
      <w:r>
        <w:t>As usual when it comes to problem questions, few candidates chose this one. As there were a good number of issues in the scenario, a generous standard was applied to the answers. The outline below is complete to an extent that was not expected of candidates.</w:t>
      </w:r>
    </w:p>
    <w:p w14:paraId="48917203" w14:textId="77777777" w:rsidR="004757C4" w:rsidRPr="005C1E54" w:rsidRDefault="004757C4" w:rsidP="004757C4">
      <w:r w:rsidRPr="005C1E54">
        <w:t>Move to London</w:t>
      </w:r>
      <w:r>
        <w:t>:</w:t>
      </w:r>
    </w:p>
    <w:p w14:paraId="0ECFC060" w14:textId="77777777" w:rsidR="004757C4" w:rsidRDefault="004757C4" w:rsidP="004757C4">
      <w:r>
        <w:lastRenderedPageBreak/>
        <w:t>Handel becomes established in London, Article 49 TFEU. Short distinction from Article 56: H seeks permanent integration into the economy of the host-Member State. As a conse</w:t>
      </w:r>
      <w:r>
        <w:softHyphen/>
        <w:t xml:space="preserve">quence, Dir. 2004/38 applies to him, Article 3(1) Dir. </w:t>
      </w:r>
      <w:proofErr w:type="spellStart"/>
      <w:r>
        <w:t>Farinelli</w:t>
      </w:r>
      <w:proofErr w:type="spellEnd"/>
      <w:r>
        <w:t xml:space="preserve"> as a famous singer does like</w:t>
      </w:r>
      <w:r>
        <w:softHyphen/>
        <w:t xml:space="preserve">wise, but we do not hear anything about his subsequent activities. To be safe, his derived rights should therefore also be assessed. We have no indication of any economic activity on </w:t>
      </w:r>
      <w:proofErr w:type="spellStart"/>
      <w:r>
        <w:t>Cosima’s</w:t>
      </w:r>
      <w:proofErr w:type="spellEnd"/>
      <w:r>
        <w:t xml:space="preserve"> part, so that she can only have rights derived from H and/or C. </w:t>
      </w:r>
    </w:p>
    <w:p w14:paraId="5313C9D6" w14:textId="77777777" w:rsidR="004757C4" w:rsidRDefault="004757C4" w:rsidP="004757C4">
      <w:proofErr w:type="spellStart"/>
      <w:r>
        <w:t>Farinelli</w:t>
      </w:r>
      <w:proofErr w:type="spellEnd"/>
      <w:r>
        <w:t xml:space="preserve"> and </w:t>
      </w:r>
      <w:proofErr w:type="spellStart"/>
      <w:r>
        <w:t>Cosima</w:t>
      </w:r>
      <w:proofErr w:type="spellEnd"/>
      <w:r>
        <w:t xml:space="preserve"> have the right to move with H under the conditions of Articles 3(1), 2(2)(a)-(d) Dir. Comments on F’s sexuality and on the platonic-incestuous nature of the relationship between H and C are likely but beside the point. None of </w:t>
      </w:r>
      <w:proofErr w:type="spellStart"/>
      <w:r>
        <w:t>lits</w:t>
      </w:r>
      <w:proofErr w:type="spellEnd"/>
      <w:r>
        <w:t xml:space="preserve"> a–d apply. We do not know enough to say whether Article 3(2)(a) applies to C, but (b) applies to her and F if H can provide ‘due attestation’ (tentative definition to be supplied by the candidates). This can be presumed. </w:t>
      </w:r>
    </w:p>
    <w:p w14:paraId="393301F7" w14:textId="77777777" w:rsidR="004757C4" w:rsidRDefault="004757C4" w:rsidP="004757C4">
      <w:r>
        <w:t xml:space="preserve">‘Lord Mayor will not allow …’ may refer to entry to England, but denial is unlikely to come within the LM’s jurisdiction. Discussion of Article 5 Dir. is therefore redundant but if without major mistakes, did not lead to deductions. Settlement in London should be the focus. The problem is that Article 7(4), second sentence, excludes Article 3(2)(b). Then again, the latter provision clearly speaks of residence. That might mean for up to three months only, under Article 6. Can this be overcome by an invocation of the right to marry and to </w:t>
      </w:r>
      <w:proofErr w:type="gramStart"/>
      <w:r>
        <w:t>found</w:t>
      </w:r>
      <w:proofErr w:type="gramEnd"/>
      <w:r>
        <w:t xml:space="preserve"> a family, Article 9 CFR? </w:t>
      </w:r>
    </w:p>
    <w:p w14:paraId="74DF37CB" w14:textId="77777777" w:rsidR="004757C4" w:rsidRDefault="004757C4" w:rsidP="004757C4">
      <w:r>
        <w:t xml:space="preserve">Those who continue after this point (hypothetic discussion is acceptable) will have to assess Article 27(1) and (2). The permissible grounds are exclusively public policy, public security, and public health. Candidates can find the definitions in the case law on Articles 45(3) and 52 TFEU. None fit the moral indignation that seems to speak from ‘louche and </w:t>
      </w:r>
      <w:proofErr w:type="gramStart"/>
      <w:r>
        <w:t>scandalous’</w:t>
      </w:r>
      <w:proofErr w:type="gramEnd"/>
      <w:r>
        <w:t xml:space="preserve">.  </w:t>
      </w:r>
    </w:p>
    <w:p w14:paraId="041805A2" w14:textId="77777777" w:rsidR="004757C4" w:rsidRPr="005C1E54" w:rsidRDefault="004757C4" w:rsidP="004757C4">
      <w:r w:rsidRPr="005C1E54">
        <w:t>Rejection of the anthem</w:t>
      </w:r>
      <w:r>
        <w:t>:</w:t>
      </w:r>
    </w:p>
    <w:p w14:paraId="289CB8D2" w14:textId="77777777" w:rsidR="004757C4" w:rsidRDefault="004757C4" w:rsidP="004757C4">
      <w:r>
        <w:t>Is there the necessary cross-border element for Article 49 to apply? Not decisive is that H is now a British citizen: those who have availed themselves of free movement rights can invoke these rights on return even against the Member State whose nationals they are (</w:t>
      </w:r>
      <w:r>
        <w:rPr>
          <w:i/>
          <w:iCs/>
        </w:rPr>
        <w:t>Kraus, Singh, et al.</w:t>
      </w:r>
      <w:r>
        <w:t>) or have become (</w:t>
      </w:r>
      <w:r>
        <w:rPr>
          <w:i/>
          <w:iCs/>
        </w:rPr>
        <w:t>Scholz</w:t>
      </w:r>
      <w:r>
        <w:t xml:space="preserve">). </w:t>
      </w:r>
    </w:p>
    <w:p w14:paraId="1F6B2722" w14:textId="77777777" w:rsidR="004757C4" w:rsidRDefault="004757C4" w:rsidP="004757C4">
      <w:r>
        <w:t>What does Article 49 prohibit when it speaks of ‘</w:t>
      </w:r>
      <w:proofErr w:type="gramStart"/>
      <w:r>
        <w:t>restrictions’</w:t>
      </w:r>
      <w:proofErr w:type="gramEnd"/>
      <w:r>
        <w:t xml:space="preserve">? From Article 52, it would appear that it prohibits at least ‘special treatment for foreign nationals’, </w:t>
      </w:r>
      <w:proofErr w:type="gramStart"/>
      <w:r>
        <w:t>i.e.</w:t>
      </w:r>
      <w:proofErr w:type="gramEnd"/>
      <w:r>
        <w:t xml:space="preserve"> distinctly applicable measures that, absent a justification on one of the grounds as in the Article, would amount to direct discrimination. Jurisprudence clarifies that indirect discrimination is also prohibited. </w:t>
      </w:r>
    </w:p>
    <w:p w14:paraId="6CC90AD5" w14:textId="77777777" w:rsidR="004757C4" w:rsidRDefault="004757C4" w:rsidP="004757C4">
      <w:r>
        <w:t>A condemnation of all his oeuvre from such an august and expert body might destroy his reputation and thus restrict his freedom of establishment. ‘Flimsy and devoid of any endur</w:t>
      </w:r>
      <w:r>
        <w:softHyphen/>
        <w:t xml:space="preserve">ing appeal’, by contrast, are value judgments on this </w:t>
      </w:r>
      <w:proofErr w:type="gramStart"/>
      <w:r>
        <w:t>particular composition</w:t>
      </w:r>
      <w:proofErr w:type="gramEnd"/>
      <w:r>
        <w:t>. There is no dis</w:t>
      </w:r>
      <w:r>
        <w:softHyphen/>
        <w:t>cern</w:t>
      </w:r>
      <w:r>
        <w:softHyphen/>
        <w:t>ible connection to H’s origin and training in another Member State. For the same reason, Article 18 TFEU does not help him. Finally, nobody denies H the right to establish him</w:t>
      </w:r>
      <w:r>
        <w:softHyphen/>
        <w:t>self at all and to seek musical commissions.</w:t>
      </w:r>
    </w:p>
    <w:p w14:paraId="6D754E35" w14:textId="77777777" w:rsidR="004757C4" w:rsidRPr="00F4382C" w:rsidRDefault="004757C4" w:rsidP="004757C4">
      <w:r w:rsidRPr="00F4382C">
        <w:lastRenderedPageBreak/>
        <w:t>Alteration of the tex</w:t>
      </w:r>
      <w:r>
        <w:t>t:</w:t>
      </w:r>
      <w:r w:rsidRPr="00F4382C">
        <w:t xml:space="preserve"> </w:t>
      </w:r>
    </w:p>
    <w:p w14:paraId="484633D3" w14:textId="77777777" w:rsidR="004757C4" w:rsidRDefault="004757C4" w:rsidP="004757C4">
      <w:r>
        <w:t>‘Speaks to the nation’ is a criterion that applies to everyone in equal measure in law. The alteration of the text from another Member State’s language to the host Member State’s is likely, however, to impose a graver factual burden on those who are in the habit of using a foreign language over the host Member State’s. The majority of those will be nationals of other Member States. The same is true of those like H who can invoke free movement rights against their own Member State.</w:t>
      </w:r>
      <w:r w:rsidRPr="006E793F">
        <w:t xml:space="preserve"> </w:t>
      </w:r>
      <w:r>
        <w:t>Here, this was a choice because the royal couple are German speakers, but that choice recommended itself to H because he is himself one.</w:t>
      </w:r>
    </w:p>
    <w:p w14:paraId="483F0722" w14:textId="77777777" w:rsidR="004757C4" w:rsidRDefault="004757C4" w:rsidP="004757C4">
      <w:r>
        <w:t xml:space="preserve">The enforced change of language therefore requires a justification. None of the grounds in Article 52 fits, including ‘public policy’. The UK is not bound to this catalogue, however, because the criterion of an ‘appeal to the nation’ is indistinctly applicable. It can also invoke ‘imperative reasons in the public interest’. This can here be phrased as, “the function of the monarchy as representing the (traditionally and predominantly English-speaking) nation”, or anything similar. Decisive is the test of proportionality. No particular outcome is obviously preferable over another. </w:t>
      </w:r>
    </w:p>
    <w:p w14:paraId="16FB5DA7" w14:textId="1EB7D1B9" w:rsidR="004757C4" w:rsidRPr="00F4382C" w:rsidRDefault="004757C4" w:rsidP="004757C4">
      <w:r>
        <w:t xml:space="preserve"> </w:t>
      </w:r>
      <w:r w:rsidRPr="00F4382C">
        <w:t>Trainee’s fees</w:t>
      </w:r>
      <w:r>
        <w:t>:</w:t>
      </w:r>
    </w:p>
    <w:p w14:paraId="44449DBE" w14:textId="77777777" w:rsidR="004757C4" w:rsidRDefault="004757C4" w:rsidP="004757C4">
      <w:r>
        <w:t xml:space="preserve">Is the situation governed by Dir. 2005/36? No ‘regulated professional activity’, Art. 3(1)(a) Dir, because H was free to accept the commission without a qualification from an English conservatoire. </w:t>
      </w:r>
    </w:p>
    <w:p w14:paraId="17646635" w14:textId="77777777" w:rsidR="004757C4" w:rsidRDefault="004757C4" w:rsidP="004757C4">
      <w:r>
        <w:t xml:space="preserve">The situation is again governed by Article 49, and again encompassed are those migrants who can invoke the freedom vis-à-vis their own MS. ‘English’ qualifications serve as the criterion for determining the fees. As anyone is free to study at English conservatoires, the criterion is not distinctly applicable. The majority of those possessing degrees awarded in a Member State will, however, be nationals of that Member State. Conversely, those not holding such degrees will in their majority be nationals of other Member States. The criterion thus leads to factual inequality. </w:t>
      </w:r>
    </w:p>
    <w:p w14:paraId="01B1AD1D" w14:textId="77777777" w:rsidR="004757C4" w:rsidRDefault="004757C4" w:rsidP="004757C4">
      <w:r>
        <w:t xml:space="preserve">Justification? No grounds in Article 52. ‘Imperative reasons …’? Protection of those who commissioned the </w:t>
      </w:r>
      <w:proofErr w:type="gramStart"/>
      <w:r>
        <w:t>composition?</w:t>
      </w:r>
      <w:proofErr w:type="gramEnd"/>
      <w:r>
        <w:t xml:space="preserve"> Preservation of the dignity of the occasion? Cultivation of national musical traditions? Ultimately decided under proportionality. Any rationally deduced result acceptable. </w:t>
      </w:r>
    </w:p>
    <w:p w14:paraId="0D31EAE7" w14:textId="77777777" w:rsidR="004757C4" w:rsidRPr="00DF5C39" w:rsidRDefault="004757C4" w:rsidP="004757C4">
      <w:r w:rsidRPr="00DF5C39">
        <w:t>No suits against the Crown</w:t>
      </w:r>
      <w:r>
        <w:t>:</w:t>
      </w:r>
    </w:p>
    <w:p w14:paraId="4F0D690C" w14:textId="77777777" w:rsidR="004757C4" w:rsidRDefault="004757C4" w:rsidP="004757C4">
      <w:r>
        <w:t xml:space="preserve">This is modelled on </w:t>
      </w:r>
      <w:r>
        <w:rPr>
          <w:i/>
          <w:iCs/>
        </w:rPr>
        <w:t xml:space="preserve">Factortame </w:t>
      </w:r>
      <w:r>
        <w:t xml:space="preserve">as an application of the principle of ‘procedural autonomy of the Member States’. National rules of procedure are inapplicable if they make it impossible (or ‘excessively difficult’) for those benefitting from EU rights to assert these rights in the national courts. Accordingly, the rule here is likely to remain out of application. </w:t>
      </w:r>
    </w:p>
    <w:p w14:paraId="6CB52293" w14:textId="77777777" w:rsidR="004757C4" w:rsidRPr="00A155A4" w:rsidRDefault="004757C4" w:rsidP="004757C4">
      <w:r w:rsidRPr="00A155A4">
        <w:lastRenderedPageBreak/>
        <w:t>Banding</w:t>
      </w:r>
      <w:r>
        <w:t>:</w:t>
      </w:r>
    </w:p>
    <w:p w14:paraId="7BFC4F2B" w14:textId="77777777" w:rsidR="004757C4" w:rsidRDefault="004757C4" w:rsidP="004757C4">
      <w:r>
        <w:t xml:space="preserve">A 2:2 was awarded only for those who mostly fail to identify the legal </w:t>
      </w:r>
      <w:proofErr w:type="gramStart"/>
      <w:r>
        <w:t>problems, and</w:t>
      </w:r>
      <w:proofErr w:type="gramEnd"/>
      <w:r>
        <w:t xml:space="preserve"> cannot think of any applicable case law or the Directive(s). </w:t>
      </w:r>
    </w:p>
    <w:p w14:paraId="197628DF" w14:textId="77777777" w:rsidR="004757C4" w:rsidRDefault="004757C4" w:rsidP="004757C4">
      <w:r>
        <w:t xml:space="preserve">A script was placed in the lower half of 2:1 if candidates identified some of the issues and showed some knowledge of relevant case law. No higher marks were given to those who showed little or no understanding of Dir. 2004/38. </w:t>
      </w:r>
    </w:p>
    <w:p w14:paraId="650ABD6A" w14:textId="77777777" w:rsidR="004757C4" w:rsidRPr="00465BEB" w:rsidRDefault="004757C4" w:rsidP="004757C4">
      <w:r>
        <w:t xml:space="preserve">A mark in the upper half of 2:1 went to those who identified most issues and were able to apply the Directive, despite some confusion about the consequences of H’s change of nationality. In this bracket, the assessment under the freedoms may be untechnical, and candidates may not see the Diplomas-directive at all, but (as expected) drew on </w:t>
      </w:r>
      <w:proofErr w:type="spellStart"/>
      <w:r>
        <w:rPr>
          <w:i/>
          <w:iCs/>
        </w:rPr>
        <w:t>Vlassopoulou</w:t>
      </w:r>
      <w:proofErr w:type="spellEnd"/>
      <w:r>
        <w:rPr>
          <w:i/>
          <w:iCs/>
        </w:rPr>
        <w:t xml:space="preserve"> </w:t>
      </w:r>
      <w:r>
        <w:t xml:space="preserve">instead. (This would require some explanation because it was about access). </w:t>
      </w:r>
    </w:p>
    <w:p w14:paraId="68117382" w14:textId="77777777" w:rsidR="004757C4" w:rsidRDefault="004757C4" w:rsidP="004757C4">
      <w:r>
        <w:t>Scripts received a 1</w:t>
      </w:r>
      <w:r w:rsidRPr="00DE2838">
        <w:rPr>
          <w:vertAlign w:val="superscript"/>
        </w:rPr>
        <w:t>st</w:t>
      </w:r>
      <w:r>
        <w:t xml:space="preserve"> if most issues were identified, and candidates showed good command of Dir 2004/38 and at least a not entirely botched attempt at applying Dir 2005/36 (with a likely fall-back on </w:t>
      </w:r>
      <w:proofErr w:type="spellStart"/>
      <w:r>
        <w:rPr>
          <w:i/>
          <w:iCs/>
        </w:rPr>
        <w:t>Vlassopoulou</w:t>
      </w:r>
      <w:proofErr w:type="spellEnd"/>
      <w:r>
        <w:rPr>
          <w:i/>
          <w:iCs/>
        </w:rPr>
        <w:t xml:space="preserve"> </w:t>
      </w:r>
      <w:r>
        <w:t xml:space="preserve">again). The assessment under the freedoms was more sure-footed than under the class below. Candidates would not be flustered by the ‘unprecedented’ grounds of </w:t>
      </w:r>
      <w:proofErr w:type="gramStart"/>
      <w:r>
        <w:t>justification, and</w:t>
      </w:r>
      <w:proofErr w:type="gramEnd"/>
      <w:r>
        <w:t xml:space="preserve"> have sensible things to say about proportionality. </w:t>
      </w:r>
    </w:p>
    <w:p w14:paraId="27B30217" w14:textId="77777777" w:rsidR="004757C4" w:rsidRDefault="004757C4" w:rsidP="004757C4">
      <w:r>
        <w:t>Q10</w:t>
      </w:r>
    </w:p>
    <w:p w14:paraId="1963F4AA" w14:textId="77777777" w:rsidR="004757C4" w:rsidRPr="00FE5C53" w:rsidRDefault="004757C4" w:rsidP="004757C4">
      <w:r>
        <w:t xml:space="preserve">This problem question was even less popular than the preceding one. </w:t>
      </w:r>
    </w:p>
    <w:p w14:paraId="6C9AC5DD" w14:textId="77777777" w:rsidR="004757C4" w:rsidRPr="00FE5C53" w:rsidRDefault="004757C4" w:rsidP="004757C4">
      <w:r w:rsidRPr="00FE5C53">
        <w:t xml:space="preserve">Ø’s case </w:t>
      </w:r>
    </w:p>
    <w:p w14:paraId="08A5995A" w14:textId="77777777" w:rsidR="004757C4" w:rsidRDefault="004757C4" w:rsidP="004757C4">
      <w:r>
        <w:t xml:space="preserve">Should the matter be brought before the General Court of the EU under Article 263, or a national court referring under Article 267(b)? </w:t>
      </w:r>
      <w:r w:rsidRPr="00C3250C">
        <w:t>Ø</w:t>
      </w:r>
      <w:r>
        <w:t xml:space="preserve"> will presumably want to get the meals </w:t>
      </w:r>
      <w:proofErr w:type="gramStart"/>
      <w:r>
        <w:t>back, and</w:t>
      </w:r>
      <w:proofErr w:type="gramEnd"/>
      <w:r>
        <w:t xml:space="preserve"> must at least demand their return lest it be accused of contributory negligence in a subsequent damages action against the EU or the UK. The General Court can under Article 263 only annul secondary EU law. It cannot issue a mandatory interim relief order against national authorities, as they are not parties to the proceedings (see above). Also, EU legislation my not prove unlawful, but the national authorities may have breached it: this is also beyond the reach of the General Court (it would instead be for the Commission to decide on bringing an action under Article 258 to the CJEU).</w:t>
      </w:r>
    </w:p>
    <w:p w14:paraId="53F8B656" w14:textId="77777777" w:rsidR="004757C4" w:rsidRDefault="004757C4" w:rsidP="004757C4">
      <w:r w:rsidRPr="00C3250C">
        <w:t>Ø</w:t>
      </w:r>
      <w:r>
        <w:t xml:space="preserve"> will therefore start proceedings in the national court. (Going to both courts would not be </w:t>
      </w:r>
      <w:proofErr w:type="gramStart"/>
      <w:r>
        <w:t>impermissible, but</w:t>
      </w:r>
      <w:proofErr w:type="gramEnd"/>
      <w:r>
        <w:t xml:space="preserve"> would occasion double fees without being faster.) Disadvantage: would have to persuade national court to refer (parties have no right to a reference – see AG Jacobs in </w:t>
      </w:r>
      <w:r>
        <w:rPr>
          <w:i/>
          <w:iCs/>
        </w:rPr>
        <w:t>UPA</w:t>
      </w:r>
      <w:r>
        <w:t xml:space="preserve">). On pain of national and </w:t>
      </w:r>
      <w:r>
        <w:rPr>
          <w:i/>
          <w:iCs/>
        </w:rPr>
        <w:t>Francovich/</w:t>
      </w:r>
      <w:proofErr w:type="spellStart"/>
      <w:r>
        <w:rPr>
          <w:i/>
          <w:iCs/>
        </w:rPr>
        <w:t>Köbler</w:t>
      </w:r>
      <w:proofErr w:type="spellEnd"/>
      <w:r>
        <w:rPr>
          <w:i/>
          <w:iCs/>
        </w:rPr>
        <w:t xml:space="preserve"> </w:t>
      </w:r>
      <w:r>
        <w:t>sanctions, however, national courts must refer questions regarding validity (</w:t>
      </w:r>
      <w:proofErr w:type="spellStart"/>
      <w:r>
        <w:rPr>
          <w:i/>
          <w:iCs/>
        </w:rPr>
        <w:t>Foto</w:t>
      </w:r>
      <w:proofErr w:type="spellEnd"/>
      <w:r>
        <w:rPr>
          <w:i/>
          <w:iCs/>
        </w:rPr>
        <w:t xml:space="preserve"> Frost</w:t>
      </w:r>
      <w:r>
        <w:t xml:space="preserve">).  </w:t>
      </w:r>
    </w:p>
    <w:p w14:paraId="1B16F212" w14:textId="77777777" w:rsidR="004757C4" w:rsidRPr="00FE5C53" w:rsidRDefault="004757C4" w:rsidP="004757C4">
      <w:r w:rsidRPr="00FE5C53">
        <w:lastRenderedPageBreak/>
        <w:t>Assessment by the CJEU under Article 267(b):</w:t>
      </w:r>
    </w:p>
    <w:p w14:paraId="5A516D4F" w14:textId="77777777" w:rsidR="004757C4" w:rsidRDefault="004757C4" w:rsidP="004757C4">
      <w:r>
        <w:t xml:space="preserve">Standing rules under Article 263(4) are not applicable. </w:t>
      </w:r>
    </w:p>
    <w:p w14:paraId="00DB6890" w14:textId="77777777" w:rsidR="004757C4" w:rsidRDefault="004757C4" w:rsidP="004757C4">
      <w:r>
        <w:t xml:space="preserve">No discernible procedural irregularities in the adoption of the Directive. </w:t>
      </w:r>
    </w:p>
    <w:p w14:paraId="7C470F43" w14:textId="77777777" w:rsidR="004757C4" w:rsidRDefault="004757C4" w:rsidP="004757C4">
      <w:r>
        <w:t xml:space="preserve">Legal basis? EP &amp; </w:t>
      </w:r>
      <w:proofErr w:type="spellStart"/>
      <w:r>
        <w:t>Ccl</w:t>
      </w:r>
      <w:proofErr w:type="spellEnd"/>
      <w:r>
        <w:t xml:space="preserve"> used Article </w:t>
      </w:r>
      <w:proofErr w:type="gramStart"/>
      <w:r>
        <w:t>168(2), but</w:t>
      </w:r>
      <w:proofErr w:type="gramEnd"/>
      <w:r>
        <w:t xml:space="preserve"> does not fit. Possibly Article 168(4)(b), or Article 114. Candidates ought to spell out the conditions for legislating under this provision; too little to go by. Legal basis can be presumed. Adoption on the ‘wrong’ legal basis harmless if the conditions of the ‘right’ one </w:t>
      </w:r>
      <w:proofErr w:type="gramStart"/>
      <w:r>
        <w:t>are</w:t>
      </w:r>
      <w:proofErr w:type="gramEnd"/>
      <w:r>
        <w:t xml:space="preserve"> fulfilled?</w:t>
      </w:r>
    </w:p>
    <w:p w14:paraId="4D216AF6" w14:textId="77777777" w:rsidR="004757C4" w:rsidRDefault="004757C4" w:rsidP="004757C4">
      <w:r>
        <w:t xml:space="preserve">Substance: restriction of free movement of goods? Import/export restrictions, meals made in DK, seized in UK. Justification: public health. Right to property &amp; to conduct a business </w:t>
      </w:r>
      <w:proofErr w:type="gramStart"/>
      <w:r>
        <w:t>restricted;</w:t>
      </w:r>
      <w:proofErr w:type="gramEnd"/>
      <w:r>
        <w:t xml:space="preserve"> proportionality? </w:t>
      </w:r>
    </w:p>
    <w:p w14:paraId="2E0BB515" w14:textId="77777777" w:rsidR="004757C4" w:rsidRPr="00FE5C53" w:rsidRDefault="004757C4" w:rsidP="004757C4">
      <w:r w:rsidRPr="00FE5C53">
        <w:t>Assessment by the GC under Article 263:</w:t>
      </w:r>
    </w:p>
    <w:p w14:paraId="122EB216" w14:textId="77777777" w:rsidR="004757C4" w:rsidRDefault="004757C4" w:rsidP="004757C4">
      <w:r>
        <w:t xml:space="preserve">Standing under (4) – Direct concern? Authorities must seize if threshold for e-coli exceeded. </w:t>
      </w:r>
      <w:proofErr w:type="spellStart"/>
      <w:r>
        <w:rPr>
          <w:i/>
          <w:iCs/>
        </w:rPr>
        <w:t>Plaumann</w:t>
      </w:r>
      <w:proofErr w:type="spellEnd"/>
      <w:r>
        <w:rPr>
          <w:i/>
          <w:iCs/>
        </w:rPr>
        <w:t xml:space="preserve"> </w:t>
      </w:r>
      <w:r>
        <w:t xml:space="preserve">formula for individual concern. No right under either legal basis to participate in the adoption of the Directive, hence no standing. On other interpretations of ‘individual concern’, assessment of legality as above. </w:t>
      </w:r>
    </w:p>
    <w:p w14:paraId="5D5AD815" w14:textId="77777777" w:rsidR="004757C4" w:rsidRPr="00FE5C53" w:rsidRDefault="004757C4" w:rsidP="004757C4">
      <w:r w:rsidRPr="00FE5C53">
        <w:t>Assessment by the national court:</w:t>
      </w:r>
    </w:p>
    <w:p w14:paraId="01209704" w14:textId="77777777" w:rsidR="004757C4" w:rsidRDefault="004757C4" w:rsidP="004757C4">
      <w:r>
        <w:t xml:space="preserve">Authority seized more than merely the batch. Even that may have been excessive, as </w:t>
      </w:r>
      <w:r w:rsidRPr="00C3250C">
        <w:t>Ø</w:t>
      </w:r>
      <w:r>
        <w:t xml:space="preserve"> can explain how the contamination came about. </w:t>
      </w:r>
    </w:p>
    <w:p w14:paraId="04DA1611" w14:textId="77777777" w:rsidR="004757C4" w:rsidRPr="00FE5C53" w:rsidRDefault="004757C4" w:rsidP="004757C4">
      <w:r w:rsidRPr="00FE5C53">
        <w:t>Å’s case</w:t>
      </w:r>
    </w:p>
    <w:p w14:paraId="3D8D41C6" w14:textId="77777777" w:rsidR="004757C4" w:rsidRDefault="004757C4" w:rsidP="004757C4">
      <w:r>
        <w:t xml:space="preserve">Å can challenge the Directive, or the Commission’s Decision. Choice of court(s) as above, also assessment of the Directive. </w:t>
      </w:r>
    </w:p>
    <w:p w14:paraId="63F7FFFB" w14:textId="77777777" w:rsidR="004757C4" w:rsidRPr="00FE5C53" w:rsidRDefault="004757C4" w:rsidP="004757C4">
      <w:r w:rsidRPr="00FE5C53">
        <w:t>Assessment by the GC of the Decision:</w:t>
      </w:r>
    </w:p>
    <w:p w14:paraId="3C242304" w14:textId="77777777" w:rsidR="004757C4" w:rsidRDefault="004757C4" w:rsidP="004757C4">
      <w:r>
        <w:t xml:space="preserve">Å is not the addressee of the </w:t>
      </w:r>
      <w:proofErr w:type="gramStart"/>
      <w:r>
        <w:t>Decision, but</w:t>
      </w:r>
      <w:proofErr w:type="gramEnd"/>
      <w:r>
        <w:t xml:space="preserve"> is specifically named in it. This may confer standing (</w:t>
      </w:r>
      <w:r w:rsidRPr="00AF506E">
        <w:rPr>
          <w:i/>
          <w:iCs/>
        </w:rPr>
        <w:t>Roquette</w:t>
      </w:r>
      <w:r>
        <w:t xml:space="preserve">). </w:t>
      </w:r>
      <w:r w:rsidRPr="00AF506E">
        <w:t>Does</w:t>
      </w:r>
      <w:r>
        <w:t xml:space="preserve"> having samples taken equate to having rights to participate in the Decision’s adoption? Tenable argument in favour. Different interpretation of </w:t>
      </w:r>
      <w:proofErr w:type="spellStart"/>
      <w:r>
        <w:rPr>
          <w:i/>
          <w:iCs/>
        </w:rPr>
        <w:t>Plaumann</w:t>
      </w:r>
      <w:proofErr w:type="spellEnd"/>
      <w:r>
        <w:rPr>
          <w:i/>
          <w:iCs/>
        </w:rPr>
        <w:t xml:space="preserve"> </w:t>
      </w:r>
      <w:r>
        <w:t xml:space="preserve">may lead to same result. Question of direct concern arises under both. Regulatory act? Doubtful whether ‘general’ application, Article 290(1). Direct concern: Commission ‘may’ adopt decision, in its discretion, no automatism. Tenable to argue Å has standing. In that case follows substantive assessment as below. </w:t>
      </w:r>
    </w:p>
    <w:p w14:paraId="6EDF0C76" w14:textId="77777777" w:rsidR="004757C4" w:rsidRPr="00FE5C53" w:rsidRDefault="004757C4" w:rsidP="004757C4">
      <w:r w:rsidRPr="00FE5C53">
        <w:lastRenderedPageBreak/>
        <w:t>Assessment by the CJEU under Article 267(b)</w:t>
      </w:r>
    </w:p>
    <w:p w14:paraId="7DEE060C" w14:textId="77777777" w:rsidR="004757C4" w:rsidRDefault="004757C4" w:rsidP="004757C4">
      <w:r>
        <w:t xml:space="preserve">The Decision imposes burdens on Å and therefore needs a valid legal basis in the Directive. The Directive may be excessive because it allows the seizing of all meals by the same manufacturer, even those that pose no danger, with no reasons given why such a drastic restriction of free movement of goods, and of the right to property and to conduct a business, should be unavoidable. Principle of precaution? For want of a valid legal basis, the Decision is also unlawful. If candidates came to a different conclusion, the fact would remain that the Commission acted on the prompting of only one national authority, rather than five. </w:t>
      </w:r>
    </w:p>
    <w:p w14:paraId="2F6AEBE1" w14:textId="77777777" w:rsidR="004757C4" w:rsidRPr="009666E7" w:rsidRDefault="004757C4" w:rsidP="004757C4">
      <w:pPr>
        <w:rPr>
          <w:u w:val="single"/>
        </w:rPr>
      </w:pPr>
    </w:p>
    <w:p w14:paraId="33E7D168" w14:textId="77777777" w:rsidR="004757C4" w:rsidRPr="00FE5C53" w:rsidRDefault="004757C4" w:rsidP="004757C4">
      <w:r w:rsidRPr="00FE5C53">
        <w:t>Banding</w:t>
      </w:r>
    </w:p>
    <w:p w14:paraId="5F59653C" w14:textId="77777777" w:rsidR="004757C4" w:rsidRDefault="004757C4" w:rsidP="004757C4">
      <w:r>
        <w:t xml:space="preserve">This problem raises all sorts of exotic questions and alternative solutions, next to some stalwarts of past exams. The utmost generosity was therefore applied to candidates’ answers.  </w:t>
      </w:r>
    </w:p>
    <w:p w14:paraId="038DA291" w14:textId="77777777" w:rsidR="004757C4" w:rsidRDefault="004757C4" w:rsidP="004757C4">
      <w:r>
        <w:t xml:space="preserve">2:2 – no grip on the question, and only rhapsodic treatment of the familiar questions that do arise. </w:t>
      </w:r>
    </w:p>
    <w:p w14:paraId="6BA23A23" w14:textId="77777777" w:rsidR="004757C4" w:rsidRDefault="004757C4" w:rsidP="004757C4">
      <w:r>
        <w:t xml:space="preserve">2:1, lower half – sees that the involvement of the national authorities complicates matters. Has some idea that this may influence the choice of court. (There is a problem question on this on the reading list.) Will go straight to Article 263, and largely ignore seizing of the goods. </w:t>
      </w:r>
    </w:p>
    <w:p w14:paraId="499D4A06" w14:textId="77777777" w:rsidR="004757C4" w:rsidRDefault="004757C4" w:rsidP="004757C4">
      <w:r>
        <w:t xml:space="preserve">2:1, upper half – candidates reflect openly on the seizing of the goods, and how it influences the choice of court, but will go to the familiar Article 263, possibly prompted by AG Jacobs’ opinion in </w:t>
      </w:r>
      <w:r>
        <w:rPr>
          <w:i/>
          <w:iCs/>
        </w:rPr>
        <w:t xml:space="preserve">UPA </w:t>
      </w:r>
      <w:r>
        <w:t xml:space="preserve">with its jeremiad on Article 267. </w:t>
      </w:r>
    </w:p>
    <w:p w14:paraId="322DA504" w14:textId="77777777" w:rsidR="004757C4" w:rsidRPr="0065739C" w:rsidRDefault="004757C4" w:rsidP="004757C4">
      <w:r>
        <w:t>1</w:t>
      </w:r>
      <w:r w:rsidRPr="0065739C">
        <w:rPr>
          <w:vertAlign w:val="superscript"/>
        </w:rPr>
        <w:t>st</w:t>
      </w:r>
      <w:r>
        <w:t xml:space="preserve"> – candidates see that both companies will want their goods back, and that the EU judiciary cannot help with that. They will explain the choice between Article 263 and Article </w:t>
      </w:r>
      <w:proofErr w:type="gramStart"/>
      <w:r>
        <w:t>267, and</w:t>
      </w:r>
      <w:proofErr w:type="gramEnd"/>
      <w:r>
        <w:t xml:space="preserve"> address a good part of the above points. Even more points for spotting the problem with Article 168(2). </w:t>
      </w:r>
    </w:p>
    <w:p w14:paraId="3327A2DE" w14:textId="77777777" w:rsidR="00DD0ED1" w:rsidRDefault="00DD0ED1" w:rsidP="002955B6">
      <w:pPr>
        <w:spacing w:before="100" w:beforeAutospacing="1" w:after="100" w:afterAutospacing="1"/>
        <w:rPr>
          <w:rFonts w:cs="Arial"/>
          <w:b/>
          <w:bCs/>
          <w:lang w:eastAsia="en-GB" w:bidi="he-IL"/>
        </w:rPr>
      </w:pPr>
    </w:p>
    <w:p w14:paraId="485F0FA8" w14:textId="748748A2" w:rsidR="00C83091" w:rsidRDefault="00C83091" w:rsidP="002955B6">
      <w:pPr>
        <w:spacing w:before="100" w:beforeAutospacing="1" w:after="100" w:afterAutospacing="1"/>
        <w:rPr>
          <w:rFonts w:cs="Arial"/>
          <w:b/>
          <w:bCs/>
          <w:lang w:eastAsia="en-GB" w:bidi="he-IL"/>
        </w:rPr>
      </w:pPr>
      <w:r>
        <w:rPr>
          <w:rFonts w:cs="Arial"/>
          <w:b/>
          <w:bCs/>
          <w:lang w:eastAsia="en-GB" w:bidi="he-IL"/>
        </w:rPr>
        <w:t>FAMILY LAW</w:t>
      </w:r>
      <w:r>
        <w:rPr>
          <w:rFonts w:cs="Arial"/>
          <w:b/>
          <w:bCs/>
          <w:lang w:eastAsia="en-GB" w:bidi="he-IL"/>
        </w:rPr>
        <w:br/>
      </w:r>
    </w:p>
    <w:tbl>
      <w:tblPr>
        <w:tblStyle w:val="TableGrid"/>
        <w:tblW w:w="0" w:type="auto"/>
        <w:tblLook w:val="04A0" w:firstRow="1" w:lastRow="0" w:firstColumn="1" w:lastColumn="0" w:noHBand="0" w:noVBand="1"/>
      </w:tblPr>
      <w:tblGrid>
        <w:gridCol w:w="2122"/>
        <w:gridCol w:w="6400"/>
      </w:tblGrid>
      <w:tr w:rsidR="00C83091" w14:paraId="7EA450D3" w14:textId="77777777" w:rsidTr="000629CF">
        <w:tc>
          <w:tcPr>
            <w:tcW w:w="2122" w:type="dxa"/>
            <w:tcBorders>
              <w:top w:val="single" w:sz="4" w:space="0" w:color="auto"/>
              <w:left w:val="single" w:sz="4" w:space="0" w:color="auto"/>
              <w:bottom w:val="single" w:sz="4" w:space="0" w:color="auto"/>
              <w:right w:val="single" w:sz="4" w:space="0" w:color="auto"/>
            </w:tcBorders>
            <w:hideMark/>
          </w:tcPr>
          <w:p w14:paraId="01E87D65" w14:textId="77777777" w:rsidR="00C83091" w:rsidRDefault="00C83091" w:rsidP="000629CF">
            <w:pPr>
              <w:spacing w:after="0"/>
              <w:rPr>
                <w:rFonts w:eastAsia="PMingLiU" w:cs="Arial"/>
                <w:b/>
                <w:bCs/>
                <w:szCs w:val="22"/>
              </w:rPr>
            </w:pPr>
            <w:r>
              <w:rPr>
                <w:rFonts w:eastAsia="PMingLiU" w:cs="Arial"/>
                <w:i/>
                <w:sz w:val="18"/>
                <w:szCs w:val="22"/>
              </w:rPr>
              <w:br w:type="page"/>
            </w:r>
            <w:r>
              <w:rPr>
                <w:rFonts w:eastAsia="PMingLiU" w:cs="Arial"/>
                <w:b/>
                <w:bCs/>
                <w:szCs w:val="22"/>
              </w:rPr>
              <w:t>Name of Paper</w:t>
            </w:r>
          </w:p>
        </w:tc>
        <w:tc>
          <w:tcPr>
            <w:tcW w:w="6400" w:type="dxa"/>
            <w:tcBorders>
              <w:top w:val="single" w:sz="4" w:space="0" w:color="auto"/>
              <w:left w:val="single" w:sz="4" w:space="0" w:color="auto"/>
              <w:bottom w:val="single" w:sz="4" w:space="0" w:color="auto"/>
              <w:right w:val="single" w:sz="4" w:space="0" w:color="auto"/>
            </w:tcBorders>
          </w:tcPr>
          <w:p w14:paraId="4F1F4B9B" w14:textId="77777777" w:rsidR="00C83091" w:rsidRDefault="00C83091" w:rsidP="000629CF">
            <w:pPr>
              <w:spacing w:after="0"/>
              <w:rPr>
                <w:rFonts w:eastAsia="PMingLiU" w:cs="Arial"/>
                <w:b/>
                <w:bCs/>
                <w:color w:val="FF0000"/>
                <w:szCs w:val="22"/>
              </w:rPr>
            </w:pPr>
            <w:r w:rsidRPr="00C83091">
              <w:rPr>
                <w:rFonts w:eastAsia="PMingLiU" w:cs="Arial"/>
                <w:b/>
                <w:bCs/>
                <w:color w:val="000000" w:themeColor="text1"/>
                <w:szCs w:val="22"/>
              </w:rPr>
              <w:t>Family Law</w:t>
            </w:r>
          </w:p>
        </w:tc>
      </w:tr>
      <w:tr w:rsidR="00C83091" w14:paraId="58E3913B" w14:textId="77777777" w:rsidTr="000629CF">
        <w:tc>
          <w:tcPr>
            <w:tcW w:w="2122" w:type="dxa"/>
            <w:tcBorders>
              <w:top w:val="single" w:sz="4" w:space="0" w:color="auto"/>
              <w:left w:val="single" w:sz="4" w:space="0" w:color="auto"/>
              <w:bottom w:val="single" w:sz="4" w:space="0" w:color="auto"/>
              <w:right w:val="single" w:sz="4" w:space="0" w:color="auto"/>
            </w:tcBorders>
            <w:hideMark/>
          </w:tcPr>
          <w:p w14:paraId="00BDA57E" w14:textId="77777777" w:rsidR="00C83091" w:rsidRDefault="00C83091" w:rsidP="000629CF">
            <w:pPr>
              <w:spacing w:after="0"/>
              <w:rPr>
                <w:rFonts w:eastAsia="PMingLiU" w:cs="Arial"/>
                <w:b/>
                <w:bCs/>
                <w:szCs w:val="22"/>
              </w:rPr>
            </w:pPr>
            <w:r>
              <w:rPr>
                <w:rFonts w:eastAsia="PMingLiU" w:cs="Arial"/>
                <w:b/>
                <w:bCs/>
                <w:szCs w:val="22"/>
              </w:rPr>
              <w:lastRenderedPageBreak/>
              <w:t>No. of students taking paper</w:t>
            </w:r>
          </w:p>
        </w:tc>
        <w:tc>
          <w:tcPr>
            <w:tcW w:w="6400" w:type="dxa"/>
            <w:tcBorders>
              <w:top w:val="single" w:sz="4" w:space="0" w:color="auto"/>
              <w:left w:val="single" w:sz="4" w:space="0" w:color="auto"/>
              <w:bottom w:val="single" w:sz="4" w:space="0" w:color="auto"/>
              <w:right w:val="single" w:sz="4" w:space="0" w:color="auto"/>
            </w:tcBorders>
          </w:tcPr>
          <w:p w14:paraId="0682898D" w14:textId="77777777" w:rsidR="00C83091" w:rsidRDefault="00C83091" w:rsidP="000629CF">
            <w:pPr>
              <w:spacing w:after="0"/>
              <w:rPr>
                <w:rFonts w:eastAsia="PMingLiU" w:cs="Arial"/>
                <w:b/>
                <w:bCs/>
                <w:color w:val="0070C0"/>
                <w:szCs w:val="22"/>
              </w:rPr>
            </w:pPr>
          </w:p>
        </w:tc>
      </w:tr>
    </w:tbl>
    <w:p w14:paraId="2D4773D0" w14:textId="77777777" w:rsidR="00C83091" w:rsidRDefault="00C83091" w:rsidP="00C83091">
      <w:pPr>
        <w:widowControl w:val="0"/>
        <w:spacing w:after="160" w:line="256" w:lineRule="auto"/>
        <w:rPr>
          <w:rFonts w:eastAsia="Calibri" w:cs="Arial"/>
          <w:b/>
          <w:szCs w:val="22"/>
        </w:rPr>
      </w:pPr>
    </w:p>
    <w:p w14:paraId="2932B1F4" w14:textId="77777777" w:rsidR="00C83091" w:rsidRDefault="00C83091" w:rsidP="00C83091">
      <w:pPr>
        <w:widowControl w:val="0"/>
        <w:spacing w:after="160" w:line="256" w:lineRule="auto"/>
        <w:rPr>
          <w:rFonts w:eastAsia="Calibri" w:cs="Arial"/>
          <w:b/>
          <w:szCs w:val="22"/>
        </w:rPr>
      </w:pPr>
      <w:r>
        <w:rPr>
          <w:rFonts w:eastAsia="Calibri" w:cs="Arial"/>
          <w:b/>
          <w:szCs w:val="22"/>
        </w:rPr>
        <w:t>Summary reflections on the paper as a whole</w:t>
      </w:r>
    </w:p>
    <w:p w14:paraId="18E1AABF" w14:textId="77777777" w:rsidR="00C83091" w:rsidRDefault="00C83091" w:rsidP="00C83091">
      <w:pPr>
        <w:widowControl w:val="0"/>
        <w:spacing w:after="160" w:line="256" w:lineRule="auto"/>
        <w:rPr>
          <w:rFonts w:eastAsia="Calibri" w:cs="Arial"/>
          <w:szCs w:val="22"/>
        </w:rPr>
      </w:pPr>
      <w:r>
        <w:rPr>
          <w:rFonts w:eastAsia="Calibri" w:cs="Arial"/>
          <w:szCs w:val="22"/>
        </w:rPr>
        <w:t>Please comment on the distribution of questions answered, the overall quality of the scripts, the distribution of marks and anything else worth noting and learning from (including suggested actions).</w:t>
      </w:r>
    </w:p>
    <w:tbl>
      <w:tblPr>
        <w:tblStyle w:val="TableGrid"/>
        <w:tblW w:w="0" w:type="auto"/>
        <w:tblLook w:val="04A0" w:firstRow="1" w:lastRow="0" w:firstColumn="1" w:lastColumn="0" w:noHBand="0" w:noVBand="1"/>
      </w:tblPr>
      <w:tblGrid>
        <w:gridCol w:w="8522"/>
      </w:tblGrid>
      <w:tr w:rsidR="00C83091" w14:paraId="14861A0A" w14:textId="77777777" w:rsidTr="000629CF">
        <w:trPr>
          <w:trHeight w:val="1612"/>
        </w:trPr>
        <w:tc>
          <w:tcPr>
            <w:tcW w:w="8522" w:type="dxa"/>
            <w:tcBorders>
              <w:top w:val="single" w:sz="4" w:space="0" w:color="auto"/>
              <w:left w:val="single" w:sz="4" w:space="0" w:color="auto"/>
              <w:bottom w:val="single" w:sz="4" w:space="0" w:color="auto"/>
              <w:right w:val="single" w:sz="4" w:space="0" w:color="auto"/>
            </w:tcBorders>
          </w:tcPr>
          <w:p w14:paraId="24601158" w14:textId="77777777" w:rsidR="00C83091" w:rsidRDefault="00C83091" w:rsidP="000629CF">
            <w:pPr>
              <w:widowControl w:val="0"/>
              <w:spacing w:after="0"/>
              <w:rPr>
                <w:rFonts w:eastAsia="PMingLiU" w:cs="Arial"/>
                <w:i/>
                <w:szCs w:val="22"/>
              </w:rPr>
            </w:pPr>
            <w:r>
              <w:rPr>
                <w:rFonts w:eastAsia="PMingLiU" w:cs="Arial"/>
                <w:i/>
                <w:szCs w:val="22"/>
              </w:rPr>
              <w:t xml:space="preserve">The family law paper was well answered this year.  Students generally made good use of the opportunities offered by the ‘open book’ style of exam, while avoiding the dangers.  A few students sought to replicate pre-prepared work without using it to address the question answered and their marks were generally weak.  But </w:t>
            </w:r>
            <w:proofErr w:type="gramStart"/>
            <w:r>
              <w:rPr>
                <w:rFonts w:eastAsia="PMingLiU" w:cs="Arial"/>
                <w:i/>
                <w:szCs w:val="22"/>
              </w:rPr>
              <w:t>the vast majority of</w:t>
            </w:r>
            <w:proofErr w:type="gramEnd"/>
            <w:r>
              <w:rPr>
                <w:rFonts w:eastAsia="PMingLiU" w:cs="Arial"/>
                <w:i/>
                <w:szCs w:val="22"/>
              </w:rPr>
              <w:t xml:space="preserve"> students sensibly used their materials to produce a targeted response.  One danger that emerged was students ‘playing it safe’ by showing a good knowledge of the cases and of the primary theoretical approaches, but not doing much </w:t>
            </w:r>
            <w:proofErr w:type="spellStart"/>
            <w:r>
              <w:rPr>
                <w:rFonts w:eastAsia="PMingLiU" w:cs="Arial"/>
                <w:i/>
                <w:szCs w:val="22"/>
              </w:rPr>
              <w:t>analysing</w:t>
            </w:r>
            <w:proofErr w:type="spellEnd"/>
            <w:r>
              <w:rPr>
                <w:rFonts w:eastAsia="PMingLiU" w:cs="Arial"/>
                <w:i/>
                <w:szCs w:val="22"/>
              </w:rPr>
              <w:t xml:space="preserve"> of the material or exploring why different academics took different views.  Such answers would obtain good marks, but just short of a </w:t>
            </w:r>
            <w:proofErr w:type="gramStart"/>
            <w:r>
              <w:rPr>
                <w:rFonts w:eastAsia="PMingLiU" w:cs="Arial"/>
                <w:i/>
                <w:szCs w:val="22"/>
              </w:rPr>
              <w:t>first class</w:t>
            </w:r>
            <w:proofErr w:type="gramEnd"/>
            <w:r>
              <w:rPr>
                <w:rFonts w:eastAsia="PMingLiU" w:cs="Arial"/>
                <w:i/>
                <w:szCs w:val="22"/>
              </w:rPr>
              <w:t xml:space="preserve"> standard.</w:t>
            </w:r>
          </w:p>
        </w:tc>
      </w:tr>
    </w:tbl>
    <w:p w14:paraId="77A1A687" w14:textId="77777777" w:rsidR="00C83091" w:rsidRDefault="00C83091" w:rsidP="00C83091">
      <w:pPr>
        <w:spacing w:after="160" w:line="256" w:lineRule="auto"/>
        <w:rPr>
          <w:rFonts w:eastAsia="Calibri" w:cs="Arial"/>
          <w:b/>
          <w:szCs w:val="22"/>
        </w:rPr>
      </w:pPr>
      <w:r>
        <w:rPr>
          <w:rFonts w:eastAsia="Calibri" w:cs="Arial"/>
          <w:b/>
          <w:szCs w:val="22"/>
        </w:rPr>
        <w:br/>
        <w:t>Brief remarks on individual questions</w:t>
      </w:r>
    </w:p>
    <w:p w14:paraId="0F7E9264" w14:textId="77777777" w:rsidR="00C83091" w:rsidRDefault="00C83091" w:rsidP="00C83091">
      <w:pPr>
        <w:widowControl w:val="0"/>
        <w:spacing w:after="160" w:line="256" w:lineRule="auto"/>
        <w:rPr>
          <w:rFonts w:eastAsia="Calibri" w:cs="Arial"/>
          <w:szCs w:val="22"/>
        </w:rPr>
      </w:pPr>
      <w:r>
        <w:rPr>
          <w:rFonts w:eastAsia="Calibri" w:cs="Arial"/>
          <w:szCs w:val="22"/>
        </w:rPr>
        <w:t>Please note the number of students answering the question, the range of marks, the overall quality of answers, notable weaknesses in the answers (and/or question) and anything else worth reporting and learning from (including suggested actions).</w:t>
      </w:r>
    </w:p>
    <w:tbl>
      <w:tblPr>
        <w:tblStyle w:val="TableGrid"/>
        <w:tblW w:w="8755" w:type="dxa"/>
        <w:tblLook w:val="04A0" w:firstRow="1" w:lastRow="0" w:firstColumn="1" w:lastColumn="0" w:noHBand="0" w:noVBand="1"/>
      </w:tblPr>
      <w:tblGrid>
        <w:gridCol w:w="4644"/>
        <w:gridCol w:w="4111"/>
      </w:tblGrid>
      <w:tr w:rsidR="00C83091" w14:paraId="1A1428DF"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05C2B7DC" w14:textId="77777777" w:rsidR="00C83091" w:rsidRDefault="00C83091" w:rsidP="000629CF">
            <w:pPr>
              <w:widowControl w:val="0"/>
              <w:spacing w:after="0"/>
              <w:jc w:val="center"/>
              <w:rPr>
                <w:rFonts w:eastAsia="PMingLiU" w:cs="Arial"/>
                <w:szCs w:val="22"/>
              </w:rPr>
            </w:pPr>
            <w:r>
              <w:rPr>
                <w:rFonts w:eastAsia="PMingLiU" w:cs="Arial"/>
                <w:b/>
                <w:szCs w:val="22"/>
              </w:rPr>
              <w:t>Question 1</w:t>
            </w:r>
          </w:p>
        </w:tc>
      </w:tr>
      <w:tr w:rsidR="00C83091" w14:paraId="717A0248"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1270C476"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0B2DA75B" w14:textId="77777777" w:rsidR="00C83091" w:rsidRDefault="00C83091" w:rsidP="000629CF">
            <w:pPr>
              <w:widowControl w:val="0"/>
              <w:spacing w:after="0"/>
              <w:rPr>
                <w:rFonts w:eastAsia="PMingLiU" w:cs="Arial"/>
                <w:szCs w:val="22"/>
              </w:rPr>
            </w:pPr>
          </w:p>
        </w:tc>
      </w:tr>
      <w:tr w:rsidR="00C83091" w14:paraId="2FA86D61"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70B67525"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22B90959" w14:textId="77777777" w:rsidR="00C83091" w:rsidRDefault="00C83091" w:rsidP="000629CF">
            <w:pPr>
              <w:widowControl w:val="0"/>
              <w:spacing w:after="0"/>
              <w:rPr>
                <w:rFonts w:eastAsia="PMingLiU" w:cs="Arial"/>
                <w:szCs w:val="22"/>
              </w:rPr>
            </w:pPr>
          </w:p>
        </w:tc>
      </w:tr>
      <w:tr w:rsidR="00C83091" w14:paraId="7A2C0D1D"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6B78F81B" w14:textId="77777777" w:rsidR="00C83091" w:rsidRDefault="00C83091" w:rsidP="000629CF">
            <w:pPr>
              <w:widowControl w:val="0"/>
              <w:spacing w:after="0"/>
              <w:rPr>
                <w:rFonts w:eastAsia="PMingLiU" w:cs="Arial"/>
                <w:b/>
                <w:szCs w:val="22"/>
              </w:rPr>
            </w:pPr>
            <w:r>
              <w:rPr>
                <w:rFonts w:eastAsia="PMingLiU" w:cs="Arial"/>
                <w:b/>
                <w:szCs w:val="22"/>
              </w:rPr>
              <w:t>Comments</w:t>
            </w:r>
          </w:p>
          <w:p w14:paraId="1AD303CB" w14:textId="77777777" w:rsidR="00C83091" w:rsidRDefault="00C83091" w:rsidP="000629CF">
            <w:pPr>
              <w:widowControl w:val="0"/>
              <w:spacing w:after="0"/>
              <w:rPr>
                <w:rFonts w:eastAsia="PMingLiU" w:cs="Arial"/>
                <w:szCs w:val="22"/>
              </w:rPr>
            </w:pPr>
            <w:r>
              <w:rPr>
                <w:rFonts w:eastAsia="PMingLiU" w:cs="Arial"/>
                <w:szCs w:val="22"/>
              </w:rPr>
              <w:t>This was not a popular question.  It was certainly a challenge for those who had not considered it before.  There were some very strong answers which explored some of the boundaries of family law and whether there was an ‘ethos’ of family law.</w:t>
            </w:r>
          </w:p>
          <w:p w14:paraId="2C455073" w14:textId="77777777" w:rsidR="00C83091" w:rsidRDefault="00C83091" w:rsidP="000629CF">
            <w:pPr>
              <w:widowControl w:val="0"/>
              <w:spacing w:after="0"/>
              <w:rPr>
                <w:rFonts w:eastAsia="PMingLiU" w:cs="Arial"/>
                <w:szCs w:val="22"/>
              </w:rPr>
            </w:pPr>
          </w:p>
        </w:tc>
      </w:tr>
    </w:tbl>
    <w:p w14:paraId="06FFFA5D" w14:textId="77777777" w:rsidR="00C83091" w:rsidRDefault="00C83091" w:rsidP="00C83091">
      <w:pPr>
        <w:widowControl w:val="0"/>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692FD540" w14:textId="77777777" w:rsidTr="000629CF">
        <w:trPr>
          <w:trHeight w:val="332"/>
        </w:trPr>
        <w:tc>
          <w:tcPr>
            <w:tcW w:w="8755" w:type="dxa"/>
            <w:gridSpan w:val="2"/>
            <w:tcBorders>
              <w:top w:val="single" w:sz="4" w:space="0" w:color="auto"/>
              <w:left w:val="single" w:sz="4" w:space="0" w:color="auto"/>
              <w:bottom w:val="single" w:sz="4" w:space="0" w:color="auto"/>
              <w:right w:val="single" w:sz="4" w:space="0" w:color="auto"/>
            </w:tcBorders>
            <w:hideMark/>
          </w:tcPr>
          <w:p w14:paraId="253479C2" w14:textId="77777777" w:rsidR="00C83091" w:rsidRDefault="00C83091" w:rsidP="000629CF">
            <w:pPr>
              <w:widowControl w:val="0"/>
              <w:spacing w:after="0"/>
              <w:jc w:val="center"/>
              <w:rPr>
                <w:rFonts w:eastAsia="PMingLiU" w:cs="Arial"/>
                <w:szCs w:val="22"/>
              </w:rPr>
            </w:pPr>
            <w:r>
              <w:rPr>
                <w:rFonts w:eastAsia="PMingLiU" w:cs="Arial"/>
                <w:b/>
                <w:szCs w:val="22"/>
              </w:rPr>
              <w:lastRenderedPageBreak/>
              <w:t>Question 2</w:t>
            </w:r>
          </w:p>
        </w:tc>
      </w:tr>
      <w:tr w:rsidR="00C83091" w14:paraId="3AE8798A"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6B14E6EB"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1BEBAA14" w14:textId="77777777" w:rsidR="00C83091" w:rsidRDefault="00C83091" w:rsidP="000629CF">
            <w:pPr>
              <w:widowControl w:val="0"/>
              <w:spacing w:after="0"/>
              <w:rPr>
                <w:rFonts w:eastAsia="PMingLiU" w:cs="Arial"/>
                <w:szCs w:val="22"/>
              </w:rPr>
            </w:pPr>
          </w:p>
        </w:tc>
      </w:tr>
      <w:tr w:rsidR="00C83091" w14:paraId="0B9A004B"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038B666C"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15E4F50F" w14:textId="77777777" w:rsidR="00C83091" w:rsidRDefault="00C83091" w:rsidP="000629CF">
            <w:pPr>
              <w:widowControl w:val="0"/>
              <w:spacing w:after="0"/>
              <w:rPr>
                <w:rFonts w:eastAsia="PMingLiU" w:cs="Arial"/>
                <w:szCs w:val="22"/>
              </w:rPr>
            </w:pPr>
          </w:p>
        </w:tc>
      </w:tr>
      <w:tr w:rsidR="00C83091" w14:paraId="7BF39E11"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2E09E76F" w14:textId="77777777" w:rsidR="00C83091" w:rsidRDefault="00C83091" w:rsidP="000629CF">
            <w:pPr>
              <w:widowControl w:val="0"/>
              <w:spacing w:after="0"/>
              <w:rPr>
                <w:rFonts w:eastAsia="PMingLiU" w:cs="Arial"/>
                <w:b/>
                <w:szCs w:val="22"/>
              </w:rPr>
            </w:pPr>
            <w:r>
              <w:rPr>
                <w:rFonts w:eastAsia="PMingLiU" w:cs="Arial"/>
                <w:b/>
                <w:szCs w:val="22"/>
              </w:rPr>
              <w:t>Comments</w:t>
            </w:r>
          </w:p>
          <w:p w14:paraId="4D004AEA" w14:textId="77777777" w:rsidR="00C83091" w:rsidRDefault="00C83091" w:rsidP="000629CF">
            <w:pPr>
              <w:widowControl w:val="0"/>
              <w:spacing w:after="0"/>
              <w:rPr>
                <w:rFonts w:eastAsia="PMingLiU" w:cs="Arial"/>
                <w:szCs w:val="22"/>
              </w:rPr>
            </w:pPr>
            <w:r>
              <w:rPr>
                <w:rFonts w:eastAsia="PMingLiU" w:cs="Arial"/>
                <w:szCs w:val="22"/>
              </w:rPr>
              <w:t xml:space="preserve">This was a popular question.  The best candidates explored carefully whether there was more to age than simply being a marker of capacity </w:t>
            </w:r>
            <w:proofErr w:type="gramStart"/>
            <w:r>
              <w:rPr>
                <w:rFonts w:eastAsia="PMingLiU" w:cs="Arial"/>
                <w:szCs w:val="22"/>
              </w:rPr>
              <w:t>and also</w:t>
            </w:r>
            <w:proofErr w:type="gramEnd"/>
            <w:r>
              <w:rPr>
                <w:rFonts w:eastAsia="PMingLiU" w:cs="Arial"/>
                <w:szCs w:val="22"/>
              </w:rPr>
              <w:t xml:space="preserve"> the difficulties in assessing capacity.</w:t>
            </w:r>
          </w:p>
          <w:p w14:paraId="1F46D8B0" w14:textId="77777777" w:rsidR="00C83091" w:rsidRDefault="00C83091" w:rsidP="000629CF">
            <w:pPr>
              <w:widowControl w:val="0"/>
              <w:spacing w:after="0"/>
              <w:rPr>
                <w:rFonts w:eastAsia="PMingLiU" w:cs="Arial"/>
                <w:szCs w:val="22"/>
              </w:rPr>
            </w:pPr>
          </w:p>
        </w:tc>
      </w:tr>
    </w:tbl>
    <w:p w14:paraId="4C03F2FA" w14:textId="77777777" w:rsidR="00C83091" w:rsidRDefault="00C83091" w:rsidP="00C83091">
      <w:pPr>
        <w:widowControl w:val="0"/>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1C74A708"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4E8D43F3" w14:textId="77777777" w:rsidR="00C83091" w:rsidRDefault="00C83091" w:rsidP="000629CF">
            <w:pPr>
              <w:widowControl w:val="0"/>
              <w:spacing w:after="0"/>
              <w:jc w:val="center"/>
              <w:rPr>
                <w:rFonts w:eastAsia="PMingLiU" w:cs="Arial"/>
                <w:szCs w:val="22"/>
              </w:rPr>
            </w:pPr>
            <w:r>
              <w:rPr>
                <w:rFonts w:eastAsia="PMingLiU" w:cs="Arial"/>
                <w:b/>
                <w:szCs w:val="22"/>
              </w:rPr>
              <w:t>Question 3</w:t>
            </w:r>
          </w:p>
        </w:tc>
      </w:tr>
      <w:tr w:rsidR="00C83091" w14:paraId="4BC3836D"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4238AB02"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1305420C" w14:textId="77777777" w:rsidR="00C83091" w:rsidRDefault="00C83091" w:rsidP="000629CF">
            <w:pPr>
              <w:widowControl w:val="0"/>
              <w:spacing w:after="0"/>
              <w:rPr>
                <w:rFonts w:eastAsia="PMingLiU" w:cs="Arial"/>
                <w:szCs w:val="22"/>
              </w:rPr>
            </w:pPr>
          </w:p>
        </w:tc>
      </w:tr>
      <w:tr w:rsidR="00C83091" w14:paraId="21B7E6BC"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2695C7DD"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5B2125E7" w14:textId="77777777" w:rsidR="00C83091" w:rsidRDefault="00C83091" w:rsidP="000629CF">
            <w:pPr>
              <w:widowControl w:val="0"/>
              <w:spacing w:after="0"/>
              <w:rPr>
                <w:rFonts w:eastAsia="PMingLiU" w:cs="Arial"/>
                <w:szCs w:val="22"/>
              </w:rPr>
            </w:pPr>
          </w:p>
        </w:tc>
      </w:tr>
      <w:tr w:rsidR="00C83091" w14:paraId="1C68AC1F"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271B8FA4" w14:textId="77777777" w:rsidR="00C83091" w:rsidRDefault="00C83091" w:rsidP="000629CF">
            <w:pPr>
              <w:widowControl w:val="0"/>
              <w:spacing w:after="0"/>
              <w:rPr>
                <w:rFonts w:eastAsia="PMingLiU" w:cs="Arial"/>
                <w:b/>
                <w:szCs w:val="22"/>
              </w:rPr>
            </w:pPr>
            <w:r>
              <w:rPr>
                <w:rFonts w:eastAsia="PMingLiU" w:cs="Arial"/>
                <w:b/>
                <w:szCs w:val="22"/>
              </w:rPr>
              <w:t>Comments</w:t>
            </w:r>
          </w:p>
          <w:p w14:paraId="67625C25" w14:textId="77777777" w:rsidR="00C83091" w:rsidRPr="006F5667" w:rsidRDefault="00C83091" w:rsidP="000629CF">
            <w:pPr>
              <w:widowControl w:val="0"/>
              <w:spacing w:after="0"/>
              <w:rPr>
                <w:rFonts w:eastAsia="PMingLiU" w:cs="Arial"/>
                <w:bCs/>
                <w:szCs w:val="22"/>
              </w:rPr>
            </w:pPr>
            <w:r w:rsidRPr="006F5667">
              <w:rPr>
                <w:rFonts w:eastAsia="PMingLiU" w:cs="Arial"/>
                <w:bCs/>
                <w:szCs w:val="22"/>
              </w:rPr>
              <w:t xml:space="preserve">This was not a particularly popular question.  </w:t>
            </w:r>
            <w:r>
              <w:rPr>
                <w:rFonts w:eastAsia="PMingLiU" w:cs="Arial"/>
                <w:bCs/>
                <w:szCs w:val="22"/>
              </w:rPr>
              <w:t>The best answers moved beyond the “Gillick” case law and explored how rights could be relevant in a wide range of children’s cases.</w:t>
            </w:r>
          </w:p>
          <w:p w14:paraId="4375E1EA" w14:textId="77777777" w:rsidR="00C83091" w:rsidRDefault="00C83091" w:rsidP="000629CF">
            <w:pPr>
              <w:widowControl w:val="0"/>
              <w:spacing w:after="0"/>
              <w:rPr>
                <w:rFonts w:eastAsia="PMingLiU" w:cs="Arial"/>
                <w:szCs w:val="22"/>
              </w:rPr>
            </w:pPr>
          </w:p>
        </w:tc>
      </w:tr>
    </w:tbl>
    <w:p w14:paraId="769FDA21"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6732E68B"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6D801F05" w14:textId="77777777" w:rsidR="00C83091" w:rsidRDefault="00C83091" w:rsidP="000629CF">
            <w:pPr>
              <w:widowControl w:val="0"/>
              <w:spacing w:after="0"/>
              <w:jc w:val="center"/>
              <w:rPr>
                <w:rFonts w:eastAsia="PMingLiU" w:cs="Arial"/>
                <w:szCs w:val="22"/>
              </w:rPr>
            </w:pPr>
            <w:r>
              <w:rPr>
                <w:rFonts w:eastAsia="PMingLiU" w:cs="Arial"/>
                <w:b/>
                <w:szCs w:val="22"/>
              </w:rPr>
              <w:t>Question 4</w:t>
            </w:r>
          </w:p>
        </w:tc>
      </w:tr>
      <w:tr w:rsidR="00C83091" w14:paraId="76A68F89"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26C359B5"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2F554E38" w14:textId="77777777" w:rsidR="00C83091" w:rsidRDefault="00C83091" w:rsidP="000629CF">
            <w:pPr>
              <w:widowControl w:val="0"/>
              <w:spacing w:after="0"/>
              <w:rPr>
                <w:rFonts w:eastAsia="PMingLiU" w:cs="Arial"/>
                <w:szCs w:val="22"/>
              </w:rPr>
            </w:pPr>
          </w:p>
        </w:tc>
      </w:tr>
      <w:tr w:rsidR="00C83091" w14:paraId="55746C05"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6EDD68C3"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3F08F38E" w14:textId="77777777" w:rsidR="00C83091" w:rsidRDefault="00C83091" w:rsidP="000629CF">
            <w:pPr>
              <w:widowControl w:val="0"/>
              <w:spacing w:after="0"/>
              <w:rPr>
                <w:rFonts w:eastAsia="PMingLiU" w:cs="Arial"/>
                <w:szCs w:val="22"/>
              </w:rPr>
            </w:pPr>
          </w:p>
        </w:tc>
      </w:tr>
      <w:tr w:rsidR="00C83091" w14:paraId="3F2E778A"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6E60E90F" w14:textId="77777777" w:rsidR="00C83091" w:rsidRDefault="00C83091" w:rsidP="000629CF">
            <w:pPr>
              <w:widowControl w:val="0"/>
              <w:spacing w:after="0"/>
              <w:rPr>
                <w:rFonts w:eastAsia="PMingLiU" w:cs="Arial"/>
                <w:b/>
                <w:szCs w:val="22"/>
              </w:rPr>
            </w:pPr>
            <w:r>
              <w:rPr>
                <w:rFonts w:eastAsia="PMingLiU" w:cs="Arial"/>
                <w:b/>
                <w:szCs w:val="22"/>
              </w:rPr>
              <w:t>Comments</w:t>
            </w:r>
          </w:p>
          <w:p w14:paraId="16D9DE36" w14:textId="77777777" w:rsidR="00C83091" w:rsidRDefault="00C83091" w:rsidP="000629CF">
            <w:pPr>
              <w:widowControl w:val="0"/>
              <w:spacing w:after="0"/>
              <w:rPr>
                <w:rFonts w:eastAsia="PMingLiU" w:cs="Arial"/>
                <w:szCs w:val="22"/>
              </w:rPr>
            </w:pPr>
            <w:r>
              <w:rPr>
                <w:rFonts w:eastAsia="PMingLiU" w:cs="Arial"/>
                <w:szCs w:val="22"/>
              </w:rPr>
              <w:t xml:space="preserve">Few candidates selected this question.  Those that did undertook some excellent analysis of Re G and Re M.  The concept of secularity </w:t>
            </w:r>
            <w:proofErr w:type="gramStart"/>
            <w:r>
              <w:rPr>
                <w:rFonts w:eastAsia="PMingLiU" w:cs="Arial"/>
                <w:szCs w:val="22"/>
              </w:rPr>
              <w:t>was  critically</w:t>
            </w:r>
            <w:proofErr w:type="gramEnd"/>
            <w:r>
              <w:rPr>
                <w:rFonts w:eastAsia="PMingLiU" w:cs="Arial"/>
                <w:szCs w:val="22"/>
              </w:rPr>
              <w:t xml:space="preserve"> examined by the best candidates.</w:t>
            </w:r>
          </w:p>
        </w:tc>
      </w:tr>
    </w:tbl>
    <w:p w14:paraId="74ACAC44"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4CDB2295"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1F59A351" w14:textId="77777777" w:rsidR="00C83091" w:rsidRDefault="00C83091" w:rsidP="000629CF">
            <w:pPr>
              <w:widowControl w:val="0"/>
              <w:spacing w:after="0"/>
              <w:jc w:val="center"/>
              <w:rPr>
                <w:rFonts w:eastAsia="PMingLiU" w:cs="Arial"/>
                <w:szCs w:val="22"/>
              </w:rPr>
            </w:pPr>
            <w:r>
              <w:rPr>
                <w:rFonts w:eastAsia="PMingLiU" w:cs="Arial"/>
                <w:b/>
                <w:szCs w:val="22"/>
              </w:rPr>
              <w:t>Question 5</w:t>
            </w:r>
          </w:p>
        </w:tc>
      </w:tr>
      <w:tr w:rsidR="00C83091" w14:paraId="50FC7113"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0DCA84E6"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2D592C12" w14:textId="77777777" w:rsidR="00C83091" w:rsidRDefault="00C83091" w:rsidP="000629CF">
            <w:pPr>
              <w:widowControl w:val="0"/>
              <w:spacing w:after="0"/>
              <w:rPr>
                <w:rFonts w:eastAsia="PMingLiU" w:cs="Arial"/>
                <w:szCs w:val="22"/>
              </w:rPr>
            </w:pPr>
          </w:p>
        </w:tc>
      </w:tr>
      <w:tr w:rsidR="00C83091" w14:paraId="27E53E96"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7F8ACB20"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0A9F9A0B" w14:textId="77777777" w:rsidR="00C83091" w:rsidRDefault="00C83091" w:rsidP="000629CF">
            <w:pPr>
              <w:widowControl w:val="0"/>
              <w:spacing w:after="0"/>
              <w:rPr>
                <w:rFonts w:eastAsia="PMingLiU" w:cs="Arial"/>
                <w:szCs w:val="22"/>
              </w:rPr>
            </w:pPr>
          </w:p>
        </w:tc>
      </w:tr>
      <w:tr w:rsidR="00C83091" w14:paraId="0373E805"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209EC8E0" w14:textId="77777777" w:rsidR="00C83091" w:rsidRDefault="00C83091" w:rsidP="000629CF">
            <w:pPr>
              <w:widowControl w:val="0"/>
              <w:spacing w:after="0"/>
              <w:rPr>
                <w:rFonts w:eastAsia="PMingLiU" w:cs="Arial"/>
                <w:b/>
                <w:szCs w:val="22"/>
              </w:rPr>
            </w:pPr>
            <w:r>
              <w:rPr>
                <w:rFonts w:eastAsia="PMingLiU" w:cs="Arial"/>
                <w:b/>
                <w:szCs w:val="22"/>
              </w:rPr>
              <w:t>Comments</w:t>
            </w:r>
          </w:p>
          <w:p w14:paraId="068CFEB0" w14:textId="77777777" w:rsidR="00C83091" w:rsidRPr="006F5667" w:rsidRDefault="00C83091" w:rsidP="000629CF">
            <w:pPr>
              <w:widowControl w:val="0"/>
              <w:spacing w:after="0"/>
              <w:rPr>
                <w:rFonts w:eastAsia="PMingLiU" w:cs="Arial"/>
                <w:bCs/>
                <w:szCs w:val="22"/>
              </w:rPr>
            </w:pPr>
            <w:r w:rsidRPr="006F5667">
              <w:rPr>
                <w:rFonts w:eastAsia="PMingLiU" w:cs="Arial"/>
                <w:bCs/>
                <w:szCs w:val="22"/>
              </w:rPr>
              <w:lastRenderedPageBreak/>
              <w:t>This was a popular question</w:t>
            </w:r>
            <w:r>
              <w:rPr>
                <w:rFonts w:eastAsia="PMingLiU" w:cs="Arial"/>
                <w:bCs/>
                <w:szCs w:val="22"/>
              </w:rPr>
              <w:t xml:space="preserve">.  Solid answers explained some of the alternative definitions of domestic abuse.  The best answers critically examined the role of patriarchy in domestic abuse and the challenges and benefits of using a </w:t>
            </w:r>
            <w:proofErr w:type="spellStart"/>
            <w:r>
              <w:rPr>
                <w:rFonts w:eastAsia="PMingLiU" w:cs="Arial"/>
                <w:bCs/>
                <w:szCs w:val="22"/>
              </w:rPr>
              <w:t>genered</w:t>
            </w:r>
            <w:proofErr w:type="spellEnd"/>
            <w:r>
              <w:rPr>
                <w:rFonts w:eastAsia="PMingLiU" w:cs="Arial"/>
                <w:bCs/>
                <w:szCs w:val="22"/>
              </w:rPr>
              <w:t xml:space="preserve"> lens to explore the phenomenon.  </w:t>
            </w:r>
          </w:p>
          <w:p w14:paraId="6A135A16" w14:textId="77777777" w:rsidR="00C83091" w:rsidRDefault="00C83091" w:rsidP="000629CF">
            <w:pPr>
              <w:widowControl w:val="0"/>
              <w:spacing w:after="0"/>
              <w:rPr>
                <w:rFonts w:eastAsia="PMingLiU" w:cs="Arial"/>
                <w:szCs w:val="22"/>
              </w:rPr>
            </w:pPr>
          </w:p>
        </w:tc>
      </w:tr>
    </w:tbl>
    <w:p w14:paraId="1098BC1F"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11018690"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4E759C7F" w14:textId="77777777" w:rsidR="00C83091" w:rsidRDefault="00C83091" w:rsidP="000629CF">
            <w:pPr>
              <w:widowControl w:val="0"/>
              <w:spacing w:after="0"/>
              <w:jc w:val="center"/>
              <w:rPr>
                <w:rFonts w:eastAsia="PMingLiU" w:cs="Arial"/>
                <w:szCs w:val="22"/>
              </w:rPr>
            </w:pPr>
            <w:r>
              <w:rPr>
                <w:rFonts w:eastAsia="PMingLiU" w:cs="Arial"/>
                <w:b/>
                <w:szCs w:val="22"/>
              </w:rPr>
              <w:t>Question 6</w:t>
            </w:r>
          </w:p>
        </w:tc>
      </w:tr>
      <w:tr w:rsidR="00C83091" w14:paraId="58AB4D69"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0293EE4D"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0029A4FE" w14:textId="77777777" w:rsidR="00C83091" w:rsidRDefault="00C83091" w:rsidP="000629CF">
            <w:pPr>
              <w:widowControl w:val="0"/>
              <w:spacing w:after="0"/>
              <w:rPr>
                <w:rFonts w:eastAsia="PMingLiU" w:cs="Arial"/>
                <w:szCs w:val="22"/>
              </w:rPr>
            </w:pPr>
          </w:p>
        </w:tc>
      </w:tr>
      <w:tr w:rsidR="00C83091" w14:paraId="30723115"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3EC59B44"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3DE25F63" w14:textId="77777777" w:rsidR="00C83091" w:rsidRDefault="00C83091" w:rsidP="000629CF">
            <w:pPr>
              <w:widowControl w:val="0"/>
              <w:spacing w:after="0"/>
              <w:rPr>
                <w:rFonts w:eastAsia="PMingLiU" w:cs="Arial"/>
                <w:szCs w:val="22"/>
              </w:rPr>
            </w:pPr>
          </w:p>
        </w:tc>
      </w:tr>
      <w:tr w:rsidR="00C83091" w14:paraId="693842DE"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27D1BD7C" w14:textId="77777777" w:rsidR="00C83091" w:rsidRDefault="00C83091" w:rsidP="000629CF">
            <w:pPr>
              <w:widowControl w:val="0"/>
              <w:spacing w:after="0"/>
              <w:rPr>
                <w:rFonts w:eastAsia="PMingLiU" w:cs="Arial"/>
                <w:b/>
                <w:szCs w:val="22"/>
              </w:rPr>
            </w:pPr>
            <w:r>
              <w:rPr>
                <w:rFonts w:eastAsia="PMingLiU" w:cs="Arial"/>
                <w:b/>
                <w:szCs w:val="22"/>
              </w:rPr>
              <w:t>Comments</w:t>
            </w:r>
          </w:p>
          <w:p w14:paraId="345F0322" w14:textId="77777777" w:rsidR="00C83091" w:rsidRDefault="00C83091" w:rsidP="00C83091">
            <w:pPr>
              <w:pStyle w:val="ListParagraph"/>
              <w:widowControl w:val="0"/>
              <w:numPr>
                <w:ilvl w:val="0"/>
                <w:numId w:val="7"/>
              </w:numPr>
              <w:spacing w:after="0" w:line="240" w:lineRule="auto"/>
              <w:rPr>
                <w:rFonts w:eastAsia="PMingLiU" w:cs="Arial"/>
                <w:bCs/>
              </w:rPr>
            </w:pPr>
            <w:r w:rsidRPr="003605B2">
              <w:rPr>
                <w:rFonts w:eastAsia="PMingLiU" w:cs="Arial"/>
                <w:bCs/>
              </w:rPr>
              <w:t xml:space="preserve">was not </w:t>
            </w:r>
            <w:r>
              <w:rPr>
                <w:rFonts w:eastAsia="PMingLiU" w:cs="Arial"/>
                <w:bCs/>
              </w:rPr>
              <w:t xml:space="preserve">at all </w:t>
            </w:r>
            <w:r w:rsidRPr="003605B2">
              <w:rPr>
                <w:rFonts w:eastAsia="PMingLiU" w:cs="Arial"/>
                <w:bCs/>
              </w:rPr>
              <w:t xml:space="preserve">popular, which was perhaps surprising given the prominence of the recent </w:t>
            </w:r>
            <w:r w:rsidRPr="003605B2">
              <w:rPr>
                <w:rFonts w:eastAsia="PMingLiU" w:cs="Arial"/>
                <w:bCs/>
                <w:i/>
                <w:iCs/>
              </w:rPr>
              <w:t xml:space="preserve">Akhtar </w:t>
            </w:r>
            <w:r w:rsidRPr="003605B2">
              <w:rPr>
                <w:rFonts w:eastAsia="PMingLiU" w:cs="Arial"/>
                <w:bCs/>
              </w:rPr>
              <w:t>decision.</w:t>
            </w:r>
          </w:p>
          <w:p w14:paraId="3C07F4F6" w14:textId="77777777" w:rsidR="00C83091" w:rsidRPr="003605B2" w:rsidRDefault="00C83091" w:rsidP="00C83091">
            <w:pPr>
              <w:pStyle w:val="ListParagraph"/>
              <w:widowControl w:val="0"/>
              <w:numPr>
                <w:ilvl w:val="0"/>
                <w:numId w:val="7"/>
              </w:numPr>
              <w:spacing w:after="0" w:line="240" w:lineRule="auto"/>
              <w:rPr>
                <w:rFonts w:eastAsia="PMingLiU" w:cs="Arial"/>
                <w:bCs/>
              </w:rPr>
            </w:pPr>
            <w:r>
              <w:rPr>
                <w:rFonts w:eastAsia="PMingLiU" w:cs="Arial"/>
                <w:bCs/>
              </w:rPr>
              <w:t xml:space="preserve">Was a very popular choice.  Writing on divorce in the family exam is problematic.  It is relatively easy to set out the law and some of the arguments about it.  It is more of a challenge to find novel and interesting things to say that will raise the answer to a </w:t>
            </w:r>
            <w:proofErr w:type="gramStart"/>
            <w:r>
              <w:rPr>
                <w:rFonts w:eastAsia="PMingLiU" w:cs="Arial"/>
                <w:bCs/>
              </w:rPr>
              <w:t>first class</w:t>
            </w:r>
            <w:proofErr w:type="gramEnd"/>
            <w:r>
              <w:rPr>
                <w:rFonts w:eastAsia="PMingLiU" w:cs="Arial"/>
                <w:bCs/>
              </w:rPr>
              <w:t xml:space="preserve"> standard.  Only a few candidates did this.  </w:t>
            </w:r>
          </w:p>
          <w:p w14:paraId="184D5165" w14:textId="77777777" w:rsidR="00C83091" w:rsidRDefault="00C83091" w:rsidP="000629CF">
            <w:pPr>
              <w:widowControl w:val="0"/>
              <w:spacing w:after="0"/>
              <w:rPr>
                <w:rFonts w:eastAsia="PMingLiU" w:cs="Arial"/>
                <w:szCs w:val="22"/>
              </w:rPr>
            </w:pPr>
          </w:p>
        </w:tc>
      </w:tr>
    </w:tbl>
    <w:p w14:paraId="2E6A1AD0"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2BFFE2A1"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37936113" w14:textId="77777777" w:rsidR="00C83091" w:rsidRDefault="00C83091" w:rsidP="000629CF">
            <w:pPr>
              <w:widowControl w:val="0"/>
              <w:spacing w:after="0"/>
              <w:jc w:val="center"/>
              <w:rPr>
                <w:rFonts w:eastAsia="PMingLiU" w:cs="Arial"/>
                <w:szCs w:val="22"/>
              </w:rPr>
            </w:pPr>
            <w:r>
              <w:rPr>
                <w:rFonts w:eastAsia="PMingLiU" w:cs="Arial"/>
                <w:b/>
                <w:szCs w:val="22"/>
              </w:rPr>
              <w:t>Question 7</w:t>
            </w:r>
          </w:p>
        </w:tc>
      </w:tr>
      <w:tr w:rsidR="00C83091" w14:paraId="65E886D3"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12A61455"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0866AC31" w14:textId="77777777" w:rsidR="00C83091" w:rsidRDefault="00C83091" w:rsidP="000629CF">
            <w:pPr>
              <w:widowControl w:val="0"/>
              <w:spacing w:after="0"/>
              <w:rPr>
                <w:rFonts w:eastAsia="PMingLiU" w:cs="Arial"/>
                <w:szCs w:val="22"/>
              </w:rPr>
            </w:pPr>
          </w:p>
        </w:tc>
      </w:tr>
      <w:tr w:rsidR="00C83091" w14:paraId="3D2276C5"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2489413E"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4098B347" w14:textId="77777777" w:rsidR="00C83091" w:rsidRDefault="00C83091" w:rsidP="000629CF">
            <w:pPr>
              <w:widowControl w:val="0"/>
              <w:spacing w:after="0"/>
              <w:rPr>
                <w:rFonts w:eastAsia="PMingLiU" w:cs="Arial"/>
                <w:szCs w:val="22"/>
              </w:rPr>
            </w:pPr>
          </w:p>
        </w:tc>
      </w:tr>
      <w:tr w:rsidR="00C83091" w14:paraId="06D86D42"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6E334472" w14:textId="77777777" w:rsidR="00C83091" w:rsidRDefault="00C83091" w:rsidP="000629CF">
            <w:pPr>
              <w:widowControl w:val="0"/>
              <w:spacing w:after="0"/>
              <w:rPr>
                <w:rFonts w:eastAsia="PMingLiU" w:cs="Arial"/>
                <w:b/>
                <w:szCs w:val="22"/>
              </w:rPr>
            </w:pPr>
            <w:r>
              <w:rPr>
                <w:rFonts w:eastAsia="PMingLiU" w:cs="Arial"/>
                <w:b/>
                <w:szCs w:val="22"/>
              </w:rPr>
              <w:t>Comments</w:t>
            </w:r>
          </w:p>
          <w:p w14:paraId="3FD5C44C" w14:textId="77777777" w:rsidR="00C83091" w:rsidRDefault="00C83091" w:rsidP="000629CF">
            <w:pPr>
              <w:widowControl w:val="0"/>
              <w:spacing w:after="0"/>
              <w:rPr>
                <w:rFonts w:eastAsia="PMingLiU" w:cs="Arial"/>
                <w:szCs w:val="22"/>
              </w:rPr>
            </w:pPr>
            <w:r>
              <w:rPr>
                <w:rFonts w:eastAsia="PMingLiU" w:cs="Arial"/>
                <w:szCs w:val="22"/>
              </w:rPr>
              <w:t xml:space="preserve">This was a </w:t>
            </w:r>
            <w:proofErr w:type="gramStart"/>
            <w:r>
              <w:rPr>
                <w:rFonts w:eastAsia="PMingLiU" w:cs="Arial"/>
                <w:szCs w:val="22"/>
              </w:rPr>
              <w:t>fairly popular</w:t>
            </w:r>
            <w:proofErr w:type="gramEnd"/>
            <w:r>
              <w:rPr>
                <w:rFonts w:eastAsia="PMingLiU" w:cs="Arial"/>
                <w:szCs w:val="22"/>
              </w:rPr>
              <w:t xml:space="preserve"> question.  It was generally well answered, with some good knowledge of the case law.  The best answers were able to explore at a theoretical level the nature of parental rights in child protection cases. </w:t>
            </w:r>
          </w:p>
        </w:tc>
      </w:tr>
    </w:tbl>
    <w:p w14:paraId="37E421B1"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3E20BF7E"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45ED5D4A" w14:textId="77777777" w:rsidR="00C83091" w:rsidRDefault="00C83091" w:rsidP="000629CF">
            <w:pPr>
              <w:widowControl w:val="0"/>
              <w:spacing w:after="0"/>
              <w:jc w:val="center"/>
              <w:rPr>
                <w:rFonts w:eastAsia="PMingLiU" w:cs="Arial"/>
                <w:szCs w:val="22"/>
              </w:rPr>
            </w:pPr>
            <w:r>
              <w:rPr>
                <w:rFonts w:eastAsia="PMingLiU" w:cs="Arial"/>
                <w:b/>
                <w:szCs w:val="22"/>
              </w:rPr>
              <w:t>Question 8</w:t>
            </w:r>
          </w:p>
        </w:tc>
      </w:tr>
      <w:tr w:rsidR="00C83091" w14:paraId="5B5883D3"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095F15ED"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1FD8CDB6" w14:textId="77777777" w:rsidR="00C83091" w:rsidRDefault="00C83091" w:rsidP="000629CF">
            <w:pPr>
              <w:widowControl w:val="0"/>
              <w:spacing w:after="0"/>
              <w:rPr>
                <w:rFonts w:eastAsia="PMingLiU" w:cs="Arial"/>
                <w:szCs w:val="22"/>
              </w:rPr>
            </w:pPr>
          </w:p>
        </w:tc>
      </w:tr>
      <w:tr w:rsidR="00C83091" w14:paraId="42464748"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6DC62525"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658BE111" w14:textId="77777777" w:rsidR="00C83091" w:rsidRDefault="00C83091" w:rsidP="000629CF">
            <w:pPr>
              <w:widowControl w:val="0"/>
              <w:spacing w:after="0"/>
              <w:rPr>
                <w:rFonts w:eastAsia="PMingLiU" w:cs="Arial"/>
                <w:szCs w:val="22"/>
              </w:rPr>
            </w:pPr>
          </w:p>
        </w:tc>
      </w:tr>
      <w:tr w:rsidR="00C83091" w14:paraId="357AACD1"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1D296389" w14:textId="77777777" w:rsidR="00C83091" w:rsidRDefault="00C83091" w:rsidP="000629CF">
            <w:pPr>
              <w:widowControl w:val="0"/>
              <w:spacing w:after="0"/>
              <w:rPr>
                <w:rFonts w:eastAsia="PMingLiU" w:cs="Arial"/>
                <w:b/>
                <w:szCs w:val="22"/>
              </w:rPr>
            </w:pPr>
            <w:r>
              <w:rPr>
                <w:rFonts w:eastAsia="PMingLiU" w:cs="Arial"/>
                <w:b/>
                <w:szCs w:val="22"/>
              </w:rPr>
              <w:t>Comments</w:t>
            </w:r>
          </w:p>
          <w:p w14:paraId="57DC3218" w14:textId="77777777" w:rsidR="00C83091" w:rsidRDefault="00C83091" w:rsidP="000629CF">
            <w:pPr>
              <w:widowControl w:val="0"/>
              <w:spacing w:after="0"/>
              <w:rPr>
                <w:rFonts w:eastAsia="PMingLiU" w:cs="Arial"/>
                <w:szCs w:val="22"/>
              </w:rPr>
            </w:pPr>
            <w:r>
              <w:rPr>
                <w:rFonts w:eastAsia="PMingLiU" w:cs="Arial"/>
                <w:szCs w:val="22"/>
              </w:rPr>
              <w:lastRenderedPageBreak/>
              <w:t xml:space="preserve">This was a popular question and was generally well answered.  Strong answers drew on the material on domestic abuse to challenge the presumption of shared parenting.  </w:t>
            </w:r>
          </w:p>
        </w:tc>
      </w:tr>
    </w:tbl>
    <w:p w14:paraId="3E44AF8F"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356EFE65"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6C0FCE6C" w14:textId="77777777" w:rsidR="00C83091" w:rsidRDefault="00C83091" w:rsidP="000629CF">
            <w:pPr>
              <w:widowControl w:val="0"/>
              <w:spacing w:after="0"/>
              <w:jc w:val="center"/>
              <w:rPr>
                <w:rFonts w:eastAsia="PMingLiU" w:cs="Arial"/>
                <w:szCs w:val="22"/>
              </w:rPr>
            </w:pPr>
            <w:r>
              <w:rPr>
                <w:rFonts w:eastAsia="PMingLiU" w:cs="Arial"/>
                <w:b/>
                <w:szCs w:val="22"/>
              </w:rPr>
              <w:t>Question 9</w:t>
            </w:r>
          </w:p>
        </w:tc>
      </w:tr>
      <w:tr w:rsidR="00C83091" w14:paraId="1128CD9F"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7E223796"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01BB7FF7" w14:textId="77777777" w:rsidR="00C83091" w:rsidRDefault="00C83091" w:rsidP="000629CF">
            <w:pPr>
              <w:widowControl w:val="0"/>
              <w:spacing w:after="0"/>
              <w:rPr>
                <w:rFonts w:eastAsia="PMingLiU" w:cs="Arial"/>
                <w:szCs w:val="22"/>
              </w:rPr>
            </w:pPr>
          </w:p>
        </w:tc>
      </w:tr>
      <w:tr w:rsidR="00C83091" w14:paraId="457FBCDE"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65650AA7"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70569ADB" w14:textId="77777777" w:rsidR="00C83091" w:rsidRDefault="00C83091" w:rsidP="000629CF">
            <w:pPr>
              <w:widowControl w:val="0"/>
              <w:spacing w:after="0"/>
              <w:rPr>
                <w:rFonts w:eastAsia="PMingLiU" w:cs="Arial"/>
                <w:szCs w:val="22"/>
              </w:rPr>
            </w:pPr>
          </w:p>
        </w:tc>
      </w:tr>
      <w:tr w:rsidR="00C83091" w14:paraId="08C5803B"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507D6D7C" w14:textId="77777777" w:rsidR="00C83091" w:rsidRDefault="00C83091" w:rsidP="000629CF">
            <w:pPr>
              <w:widowControl w:val="0"/>
              <w:spacing w:after="0"/>
              <w:rPr>
                <w:rFonts w:eastAsia="PMingLiU" w:cs="Arial"/>
                <w:b/>
                <w:szCs w:val="22"/>
              </w:rPr>
            </w:pPr>
            <w:r>
              <w:rPr>
                <w:rFonts w:eastAsia="PMingLiU" w:cs="Arial"/>
                <w:b/>
                <w:szCs w:val="22"/>
              </w:rPr>
              <w:t>Comments</w:t>
            </w:r>
          </w:p>
          <w:p w14:paraId="76DE09E8" w14:textId="77777777" w:rsidR="00C83091" w:rsidRPr="003605B2" w:rsidRDefault="00C83091" w:rsidP="000629CF">
            <w:pPr>
              <w:widowControl w:val="0"/>
              <w:spacing w:after="0"/>
              <w:rPr>
                <w:rFonts w:eastAsia="PMingLiU" w:cs="Arial"/>
                <w:bCs/>
                <w:szCs w:val="22"/>
              </w:rPr>
            </w:pPr>
            <w:r w:rsidRPr="003605B2">
              <w:rPr>
                <w:rFonts w:eastAsia="PMingLiU" w:cs="Arial"/>
                <w:bCs/>
                <w:szCs w:val="22"/>
              </w:rPr>
              <w:t xml:space="preserve">This was not a particularly popular question.  Its breadth no doubt put some candidates off.  </w:t>
            </w:r>
            <w:r>
              <w:rPr>
                <w:rFonts w:eastAsia="PMingLiU" w:cs="Arial"/>
                <w:bCs/>
                <w:szCs w:val="22"/>
              </w:rPr>
              <w:t>Strong answers explore the links between parental responsibility and parental rights and the concept of parental discretion.</w:t>
            </w:r>
          </w:p>
          <w:p w14:paraId="3F2EFDA5" w14:textId="77777777" w:rsidR="00C83091" w:rsidRDefault="00C83091" w:rsidP="000629CF">
            <w:pPr>
              <w:widowControl w:val="0"/>
              <w:spacing w:after="0"/>
              <w:rPr>
                <w:rFonts w:eastAsia="PMingLiU" w:cs="Arial"/>
                <w:szCs w:val="22"/>
              </w:rPr>
            </w:pPr>
          </w:p>
        </w:tc>
      </w:tr>
    </w:tbl>
    <w:p w14:paraId="1BD51062"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1C1354D6"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57E234E0" w14:textId="77777777" w:rsidR="00C83091" w:rsidRDefault="00C83091" w:rsidP="000629CF">
            <w:pPr>
              <w:widowControl w:val="0"/>
              <w:spacing w:after="0"/>
              <w:jc w:val="center"/>
              <w:rPr>
                <w:rFonts w:eastAsia="PMingLiU" w:cs="Arial"/>
                <w:szCs w:val="22"/>
              </w:rPr>
            </w:pPr>
            <w:r>
              <w:rPr>
                <w:rFonts w:eastAsia="PMingLiU" w:cs="Arial"/>
                <w:b/>
                <w:szCs w:val="22"/>
              </w:rPr>
              <w:t>Question 10</w:t>
            </w:r>
          </w:p>
        </w:tc>
      </w:tr>
      <w:tr w:rsidR="00C83091" w14:paraId="4E213EE2"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2CAA58F4"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1E235FDC" w14:textId="77777777" w:rsidR="00C83091" w:rsidRDefault="00C83091" w:rsidP="000629CF">
            <w:pPr>
              <w:widowControl w:val="0"/>
              <w:spacing w:after="0"/>
              <w:rPr>
                <w:rFonts w:eastAsia="PMingLiU" w:cs="Arial"/>
                <w:szCs w:val="22"/>
              </w:rPr>
            </w:pPr>
          </w:p>
        </w:tc>
      </w:tr>
      <w:tr w:rsidR="00C83091" w14:paraId="24B9C047"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6C763446"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0DC048E9" w14:textId="77777777" w:rsidR="00C83091" w:rsidRDefault="00C83091" w:rsidP="000629CF">
            <w:pPr>
              <w:widowControl w:val="0"/>
              <w:spacing w:after="0"/>
              <w:rPr>
                <w:rFonts w:eastAsia="PMingLiU" w:cs="Arial"/>
                <w:szCs w:val="22"/>
              </w:rPr>
            </w:pPr>
          </w:p>
        </w:tc>
      </w:tr>
      <w:tr w:rsidR="00C83091" w14:paraId="6EE2E263"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05122F06" w14:textId="77777777" w:rsidR="00C83091" w:rsidRDefault="00C83091" w:rsidP="000629CF">
            <w:pPr>
              <w:widowControl w:val="0"/>
              <w:spacing w:after="0"/>
              <w:rPr>
                <w:rFonts w:eastAsia="PMingLiU" w:cs="Arial"/>
                <w:b/>
                <w:szCs w:val="22"/>
              </w:rPr>
            </w:pPr>
            <w:r>
              <w:rPr>
                <w:rFonts w:eastAsia="PMingLiU" w:cs="Arial"/>
                <w:b/>
                <w:szCs w:val="22"/>
              </w:rPr>
              <w:t>Comments</w:t>
            </w:r>
          </w:p>
          <w:p w14:paraId="25A2BABE" w14:textId="77777777" w:rsidR="00C83091" w:rsidRDefault="00C83091" w:rsidP="000629CF">
            <w:pPr>
              <w:widowControl w:val="0"/>
              <w:spacing w:after="0"/>
              <w:rPr>
                <w:rFonts w:eastAsia="PMingLiU" w:cs="Arial"/>
                <w:szCs w:val="22"/>
              </w:rPr>
            </w:pPr>
            <w:r>
              <w:rPr>
                <w:rFonts w:eastAsia="PMingLiU" w:cs="Arial"/>
                <w:szCs w:val="22"/>
              </w:rPr>
              <w:t xml:space="preserve">This was not an especially popular question but was generally very well answered by those who had attempted it.  Several candidates </w:t>
            </w:r>
            <w:proofErr w:type="gramStart"/>
            <w:r>
              <w:rPr>
                <w:rFonts w:eastAsia="PMingLiU" w:cs="Arial"/>
                <w:szCs w:val="22"/>
              </w:rPr>
              <w:t>explored effectively</w:t>
            </w:r>
            <w:proofErr w:type="gramEnd"/>
            <w:r>
              <w:rPr>
                <w:rFonts w:eastAsia="PMingLiU" w:cs="Arial"/>
                <w:szCs w:val="22"/>
              </w:rPr>
              <w:t xml:space="preserve"> the hold of the hetero-normative family over family law.  </w:t>
            </w:r>
          </w:p>
        </w:tc>
      </w:tr>
    </w:tbl>
    <w:p w14:paraId="1113E83A"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54BBE518"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43C0C114" w14:textId="77777777" w:rsidR="00C83091" w:rsidRDefault="00C83091" w:rsidP="000629CF">
            <w:pPr>
              <w:widowControl w:val="0"/>
              <w:spacing w:after="0"/>
              <w:jc w:val="center"/>
              <w:rPr>
                <w:rFonts w:eastAsia="PMingLiU" w:cs="Arial"/>
                <w:szCs w:val="22"/>
              </w:rPr>
            </w:pPr>
            <w:r>
              <w:rPr>
                <w:rFonts w:eastAsia="PMingLiU" w:cs="Arial"/>
                <w:b/>
                <w:szCs w:val="22"/>
              </w:rPr>
              <w:t>Question 11</w:t>
            </w:r>
          </w:p>
        </w:tc>
      </w:tr>
      <w:tr w:rsidR="00C83091" w14:paraId="05B4041A"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4750B8D6"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7ECFD1E4" w14:textId="77777777" w:rsidR="00C83091" w:rsidRDefault="00C83091" w:rsidP="000629CF">
            <w:pPr>
              <w:widowControl w:val="0"/>
              <w:spacing w:after="0"/>
              <w:rPr>
                <w:rFonts w:eastAsia="PMingLiU" w:cs="Arial"/>
                <w:szCs w:val="22"/>
              </w:rPr>
            </w:pPr>
          </w:p>
        </w:tc>
      </w:tr>
      <w:tr w:rsidR="00C83091" w14:paraId="550B07B6"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660E1F0D"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46CA2C1C" w14:textId="77777777" w:rsidR="00C83091" w:rsidRDefault="00C83091" w:rsidP="000629CF">
            <w:pPr>
              <w:widowControl w:val="0"/>
              <w:spacing w:after="0"/>
              <w:rPr>
                <w:rFonts w:eastAsia="PMingLiU" w:cs="Arial"/>
                <w:szCs w:val="22"/>
              </w:rPr>
            </w:pPr>
          </w:p>
        </w:tc>
      </w:tr>
      <w:tr w:rsidR="00C83091" w14:paraId="2DEBB0AC"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2333AD48" w14:textId="77777777" w:rsidR="00C83091" w:rsidRDefault="00C83091" w:rsidP="000629CF">
            <w:pPr>
              <w:widowControl w:val="0"/>
              <w:spacing w:after="0"/>
              <w:rPr>
                <w:rFonts w:eastAsia="PMingLiU" w:cs="Arial"/>
                <w:b/>
                <w:szCs w:val="22"/>
              </w:rPr>
            </w:pPr>
            <w:r>
              <w:rPr>
                <w:rFonts w:eastAsia="PMingLiU" w:cs="Arial"/>
                <w:b/>
                <w:szCs w:val="22"/>
              </w:rPr>
              <w:t>Comments</w:t>
            </w:r>
          </w:p>
          <w:p w14:paraId="108B66AB" w14:textId="77777777" w:rsidR="00C83091" w:rsidRPr="003605B2" w:rsidRDefault="00C83091" w:rsidP="000629CF">
            <w:pPr>
              <w:widowControl w:val="0"/>
              <w:spacing w:after="0"/>
              <w:rPr>
                <w:rFonts w:eastAsia="PMingLiU" w:cs="Arial"/>
                <w:bCs/>
                <w:szCs w:val="22"/>
              </w:rPr>
            </w:pPr>
            <w:r w:rsidRPr="003605B2">
              <w:rPr>
                <w:rFonts w:eastAsia="PMingLiU" w:cs="Arial"/>
                <w:bCs/>
                <w:szCs w:val="22"/>
              </w:rPr>
              <w:t xml:space="preserve">This was a </w:t>
            </w:r>
            <w:proofErr w:type="gramStart"/>
            <w:r w:rsidRPr="003605B2">
              <w:rPr>
                <w:rFonts w:eastAsia="PMingLiU" w:cs="Arial"/>
                <w:bCs/>
                <w:szCs w:val="22"/>
              </w:rPr>
              <w:t>fairly popular</w:t>
            </w:r>
            <w:proofErr w:type="gramEnd"/>
            <w:r w:rsidRPr="003605B2">
              <w:rPr>
                <w:rFonts w:eastAsia="PMingLiU" w:cs="Arial"/>
                <w:bCs/>
                <w:szCs w:val="22"/>
              </w:rPr>
              <w:t xml:space="preserve"> question.  </w:t>
            </w:r>
            <w:r>
              <w:rPr>
                <w:rFonts w:eastAsia="PMingLiU" w:cs="Arial"/>
                <w:bCs/>
                <w:szCs w:val="22"/>
              </w:rPr>
              <w:t xml:space="preserve">Many candidates pointed out the complex interplay with socio-economic factors for the significance of marriage.  There was an assumption in many answers that the problems of inequality within marriage could not also be found in unmarried couples.  </w:t>
            </w:r>
          </w:p>
          <w:p w14:paraId="4EEE7AD9" w14:textId="77777777" w:rsidR="00C83091" w:rsidRDefault="00C83091" w:rsidP="000629CF">
            <w:pPr>
              <w:widowControl w:val="0"/>
              <w:spacing w:after="0"/>
              <w:rPr>
                <w:rFonts w:eastAsia="PMingLiU" w:cs="Arial"/>
                <w:szCs w:val="22"/>
              </w:rPr>
            </w:pPr>
          </w:p>
        </w:tc>
      </w:tr>
    </w:tbl>
    <w:p w14:paraId="45E58828" w14:textId="77777777" w:rsidR="00C83091" w:rsidRDefault="00C83091" w:rsidP="00C83091">
      <w:pPr>
        <w:spacing w:after="160" w:line="256" w:lineRule="auto"/>
        <w:rPr>
          <w:rFonts w:eastAsia="Calibri" w:cs="Arial"/>
          <w:szCs w:val="22"/>
        </w:rPr>
      </w:pPr>
    </w:p>
    <w:tbl>
      <w:tblPr>
        <w:tblStyle w:val="TableGrid"/>
        <w:tblW w:w="8755" w:type="dxa"/>
        <w:tblLook w:val="04A0" w:firstRow="1" w:lastRow="0" w:firstColumn="1" w:lastColumn="0" w:noHBand="0" w:noVBand="1"/>
      </w:tblPr>
      <w:tblGrid>
        <w:gridCol w:w="4644"/>
        <w:gridCol w:w="4111"/>
      </w:tblGrid>
      <w:tr w:rsidR="00C83091" w14:paraId="0B920EF7" w14:textId="77777777" w:rsidTr="000629CF">
        <w:tc>
          <w:tcPr>
            <w:tcW w:w="8755" w:type="dxa"/>
            <w:gridSpan w:val="2"/>
            <w:tcBorders>
              <w:top w:val="single" w:sz="4" w:space="0" w:color="auto"/>
              <w:left w:val="single" w:sz="4" w:space="0" w:color="auto"/>
              <w:bottom w:val="single" w:sz="4" w:space="0" w:color="auto"/>
              <w:right w:val="single" w:sz="4" w:space="0" w:color="auto"/>
            </w:tcBorders>
            <w:hideMark/>
          </w:tcPr>
          <w:p w14:paraId="11A53FED" w14:textId="77777777" w:rsidR="00C83091" w:rsidRDefault="00C83091" w:rsidP="000629CF">
            <w:pPr>
              <w:widowControl w:val="0"/>
              <w:spacing w:after="0"/>
              <w:jc w:val="center"/>
              <w:rPr>
                <w:rFonts w:eastAsia="PMingLiU" w:cs="Arial"/>
                <w:szCs w:val="22"/>
              </w:rPr>
            </w:pPr>
            <w:r>
              <w:rPr>
                <w:rFonts w:eastAsia="PMingLiU" w:cs="Arial"/>
                <w:b/>
                <w:szCs w:val="22"/>
              </w:rPr>
              <w:lastRenderedPageBreak/>
              <w:t>Question 12</w:t>
            </w:r>
          </w:p>
        </w:tc>
      </w:tr>
      <w:tr w:rsidR="00C83091" w14:paraId="00BF0932"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7D54BF1E" w14:textId="77777777" w:rsidR="00C83091" w:rsidRDefault="00C83091" w:rsidP="000629CF">
            <w:pPr>
              <w:widowControl w:val="0"/>
              <w:spacing w:after="0"/>
              <w:rPr>
                <w:rFonts w:eastAsia="PMingLiU" w:cs="Arial"/>
                <w:szCs w:val="22"/>
              </w:rPr>
            </w:pPr>
            <w:r>
              <w:rPr>
                <w:rFonts w:eastAsia="PMingLiU" w:cs="Arial"/>
                <w:szCs w:val="22"/>
              </w:rPr>
              <w:t>No. of students who answered this question</w:t>
            </w:r>
          </w:p>
        </w:tc>
        <w:tc>
          <w:tcPr>
            <w:tcW w:w="4111" w:type="dxa"/>
            <w:tcBorders>
              <w:top w:val="single" w:sz="4" w:space="0" w:color="auto"/>
              <w:left w:val="single" w:sz="4" w:space="0" w:color="auto"/>
              <w:bottom w:val="single" w:sz="4" w:space="0" w:color="auto"/>
              <w:right w:val="single" w:sz="4" w:space="0" w:color="auto"/>
            </w:tcBorders>
          </w:tcPr>
          <w:p w14:paraId="3734D43D" w14:textId="77777777" w:rsidR="00C83091" w:rsidRDefault="00C83091" w:rsidP="000629CF">
            <w:pPr>
              <w:widowControl w:val="0"/>
              <w:spacing w:after="0"/>
              <w:rPr>
                <w:rFonts w:eastAsia="PMingLiU" w:cs="Arial"/>
                <w:szCs w:val="22"/>
              </w:rPr>
            </w:pPr>
          </w:p>
        </w:tc>
      </w:tr>
      <w:tr w:rsidR="00C83091" w14:paraId="76166487" w14:textId="77777777" w:rsidTr="000629CF">
        <w:tc>
          <w:tcPr>
            <w:tcW w:w="4644" w:type="dxa"/>
            <w:tcBorders>
              <w:top w:val="single" w:sz="4" w:space="0" w:color="auto"/>
              <w:left w:val="single" w:sz="4" w:space="0" w:color="auto"/>
              <w:bottom w:val="single" w:sz="4" w:space="0" w:color="auto"/>
              <w:right w:val="single" w:sz="4" w:space="0" w:color="auto"/>
            </w:tcBorders>
            <w:hideMark/>
          </w:tcPr>
          <w:p w14:paraId="3BD07F42" w14:textId="77777777" w:rsidR="00C83091" w:rsidRDefault="00C83091" w:rsidP="000629CF">
            <w:pPr>
              <w:widowControl w:val="0"/>
              <w:spacing w:after="0"/>
              <w:rPr>
                <w:rFonts w:eastAsia="PMingLiU" w:cs="Arial"/>
                <w:szCs w:val="22"/>
              </w:rPr>
            </w:pPr>
            <w:r>
              <w:rPr>
                <w:rFonts w:eastAsia="PMingLiU" w:cs="Arial"/>
                <w:szCs w:val="22"/>
              </w:rPr>
              <w:t>Range of marks</w:t>
            </w:r>
          </w:p>
        </w:tc>
        <w:tc>
          <w:tcPr>
            <w:tcW w:w="4111" w:type="dxa"/>
            <w:tcBorders>
              <w:top w:val="single" w:sz="4" w:space="0" w:color="auto"/>
              <w:left w:val="single" w:sz="4" w:space="0" w:color="auto"/>
              <w:bottom w:val="single" w:sz="4" w:space="0" w:color="auto"/>
              <w:right w:val="single" w:sz="4" w:space="0" w:color="auto"/>
            </w:tcBorders>
          </w:tcPr>
          <w:p w14:paraId="48AED461" w14:textId="77777777" w:rsidR="00C83091" w:rsidRDefault="00C83091" w:rsidP="000629CF">
            <w:pPr>
              <w:widowControl w:val="0"/>
              <w:spacing w:after="0"/>
              <w:rPr>
                <w:rFonts w:eastAsia="PMingLiU" w:cs="Arial"/>
                <w:szCs w:val="22"/>
              </w:rPr>
            </w:pPr>
          </w:p>
        </w:tc>
      </w:tr>
      <w:tr w:rsidR="00C83091" w14:paraId="1A7E3819" w14:textId="77777777" w:rsidTr="000629CF">
        <w:tc>
          <w:tcPr>
            <w:tcW w:w="8755" w:type="dxa"/>
            <w:gridSpan w:val="2"/>
            <w:tcBorders>
              <w:top w:val="single" w:sz="4" w:space="0" w:color="auto"/>
              <w:left w:val="single" w:sz="4" w:space="0" w:color="auto"/>
              <w:bottom w:val="single" w:sz="4" w:space="0" w:color="auto"/>
              <w:right w:val="single" w:sz="4" w:space="0" w:color="auto"/>
            </w:tcBorders>
          </w:tcPr>
          <w:p w14:paraId="541B8055" w14:textId="77777777" w:rsidR="00C83091" w:rsidRDefault="00C83091" w:rsidP="000629CF">
            <w:pPr>
              <w:widowControl w:val="0"/>
              <w:spacing w:after="0"/>
              <w:rPr>
                <w:rFonts w:eastAsia="PMingLiU" w:cs="Arial"/>
                <w:b/>
                <w:szCs w:val="22"/>
              </w:rPr>
            </w:pPr>
            <w:r>
              <w:rPr>
                <w:rFonts w:eastAsia="PMingLiU" w:cs="Arial"/>
                <w:b/>
                <w:szCs w:val="22"/>
              </w:rPr>
              <w:t>Comments</w:t>
            </w:r>
          </w:p>
          <w:p w14:paraId="3E172F4B" w14:textId="77777777" w:rsidR="00C83091" w:rsidRDefault="00C83091" w:rsidP="000629CF">
            <w:pPr>
              <w:widowControl w:val="0"/>
              <w:spacing w:after="0"/>
              <w:rPr>
                <w:rFonts w:eastAsia="PMingLiU" w:cs="Arial"/>
                <w:szCs w:val="22"/>
              </w:rPr>
            </w:pPr>
            <w:r>
              <w:rPr>
                <w:rFonts w:eastAsia="PMingLiU" w:cs="Arial"/>
                <w:szCs w:val="22"/>
              </w:rPr>
              <w:t xml:space="preserve">This was a </w:t>
            </w:r>
            <w:proofErr w:type="gramStart"/>
            <w:r>
              <w:rPr>
                <w:rFonts w:eastAsia="PMingLiU" w:cs="Arial"/>
                <w:szCs w:val="22"/>
              </w:rPr>
              <w:t>fairly popular</w:t>
            </w:r>
            <w:proofErr w:type="gramEnd"/>
            <w:r>
              <w:rPr>
                <w:rFonts w:eastAsia="PMingLiU" w:cs="Arial"/>
                <w:szCs w:val="22"/>
              </w:rPr>
              <w:t xml:space="preserve"> answer.  There was a good awareness of the inequalities that can result from the distribution of caring responsibilities in marriage.  More could have done to explore alternative ways these inequalities could be addressed.  </w:t>
            </w:r>
          </w:p>
        </w:tc>
      </w:tr>
    </w:tbl>
    <w:p w14:paraId="443B8D02" w14:textId="575DDF93" w:rsidR="002955B6" w:rsidRPr="002955B6" w:rsidRDefault="002955B6" w:rsidP="002955B6">
      <w:pPr>
        <w:spacing w:before="100" w:beforeAutospacing="1" w:after="100" w:afterAutospacing="1"/>
        <w:rPr>
          <w:rFonts w:cs="Arial"/>
          <w:b/>
          <w:bCs/>
          <w:lang w:eastAsia="en-GB" w:bidi="he-IL"/>
        </w:rPr>
      </w:pPr>
      <w:r w:rsidRPr="002955B6">
        <w:rPr>
          <w:rFonts w:cs="Arial"/>
          <w:b/>
          <w:bCs/>
          <w:lang w:eastAsia="en-GB" w:bidi="he-IL"/>
        </w:rPr>
        <w:t>HISTORY OF ENGLISH LAW</w:t>
      </w:r>
    </w:p>
    <w:p w14:paraId="77738F07" w14:textId="67C679CD" w:rsidR="002955B6" w:rsidRPr="002955B6" w:rsidRDefault="002955B6" w:rsidP="002955B6">
      <w:pPr>
        <w:spacing w:before="100" w:beforeAutospacing="1" w:after="100" w:afterAutospacing="1"/>
        <w:rPr>
          <w:rFonts w:cs="Arial"/>
          <w:szCs w:val="22"/>
          <w:lang w:eastAsia="en-GB" w:bidi="he-IL"/>
        </w:rPr>
      </w:pPr>
      <w:r w:rsidRPr="002955B6">
        <w:rPr>
          <w:rFonts w:cs="Arial"/>
          <w:lang w:eastAsia="en-GB" w:bidi="he-IL"/>
        </w:rPr>
        <w:t xml:space="preserve">The class of three sat the paper by remote means, without incident. The standard attained was high. Two attained first class results; the third was very close. </w:t>
      </w:r>
    </w:p>
    <w:p w14:paraId="27430092" w14:textId="77777777" w:rsidR="002955B6" w:rsidRPr="002955B6" w:rsidRDefault="002955B6" w:rsidP="002955B6">
      <w:pPr>
        <w:spacing w:before="100" w:beforeAutospacing="1" w:after="100" w:afterAutospacing="1"/>
        <w:rPr>
          <w:rFonts w:eastAsiaTheme="minorHAnsi" w:cs="Arial"/>
        </w:rPr>
      </w:pPr>
      <w:r w:rsidRPr="002955B6">
        <w:rPr>
          <w:rFonts w:cs="Arial"/>
          <w:lang w:eastAsia="en-GB" w:bidi="he-IL"/>
        </w:rPr>
        <w:t xml:space="preserve">All candidates attempted the question on the evolution of uses and </w:t>
      </w:r>
      <w:proofErr w:type="gramStart"/>
      <w:r w:rsidRPr="002955B6">
        <w:rPr>
          <w:rFonts w:cs="Arial"/>
          <w:lang w:eastAsia="en-GB" w:bidi="he-IL"/>
        </w:rPr>
        <w:t>trusts, and</w:t>
      </w:r>
      <w:proofErr w:type="gramEnd"/>
      <w:r w:rsidRPr="002955B6">
        <w:rPr>
          <w:rFonts w:cs="Arial"/>
          <w:lang w:eastAsia="en-GB" w:bidi="he-IL"/>
        </w:rPr>
        <w:t xml:space="preserve"> offered capable answers. Here it was important to </w:t>
      </w:r>
      <w:r w:rsidRPr="002955B6">
        <w:rPr>
          <w:rFonts w:cs="Arial"/>
        </w:rPr>
        <w:t>engage closely with the statute in question and set it against other regulatory statutes stretching back to thirteenth-century mortmain controls, and not to rehearse the entire history of equitable property rights.</w:t>
      </w:r>
    </w:p>
    <w:p w14:paraId="5079B2C9" w14:textId="77777777" w:rsidR="002955B6" w:rsidRPr="002955B6" w:rsidRDefault="002955B6" w:rsidP="002955B6">
      <w:pPr>
        <w:spacing w:before="100" w:beforeAutospacing="1" w:after="100" w:afterAutospacing="1"/>
        <w:rPr>
          <w:rFonts w:cs="Arial"/>
          <w:lang w:eastAsia="en-GB" w:bidi="he-IL"/>
        </w:rPr>
      </w:pPr>
      <w:r w:rsidRPr="002955B6">
        <w:rPr>
          <w:rFonts w:cs="Arial"/>
          <w:lang w:eastAsia="en-GB" w:bidi="he-IL"/>
        </w:rPr>
        <w:t>The other questions attempted were as follows:</w:t>
      </w:r>
    </w:p>
    <w:p w14:paraId="67CCA960" w14:textId="77777777" w:rsidR="002955B6" w:rsidRPr="002955B6" w:rsidRDefault="002955B6" w:rsidP="002955B6">
      <w:pPr>
        <w:pStyle w:val="ListParagraph"/>
        <w:numPr>
          <w:ilvl w:val="0"/>
          <w:numId w:val="3"/>
        </w:numPr>
        <w:spacing w:before="100" w:beforeAutospacing="1" w:after="100" w:afterAutospacing="1" w:line="240" w:lineRule="auto"/>
        <w:rPr>
          <w:rFonts w:ascii="Arial" w:eastAsia="Times New Roman" w:hAnsi="Arial" w:cs="Arial"/>
          <w:lang w:eastAsia="en-GB" w:bidi="he-IL"/>
        </w:rPr>
      </w:pPr>
      <w:r w:rsidRPr="002955B6">
        <w:rPr>
          <w:rFonts w:ascii="Arial" w:eastAsia="Times New Roman" w:hAnsi="Arial" w:cs="Arial"/>
          <w:lang w:eastAsia="en-GB" w:bidi="he-IL"/>
        </w:rPr>
        <w:t xml:space="preserve">History of Precedent, which inevitably embraced the nature of common-law </w:t>
      </w:r>
      <w:proofErr w:type="gramStart"/>
      <w:r w:rsidRPr="002955B6">
        <w:rPr>
          <w:rFonts w:ascii="Arial" w:eastAsia="Times New Roman" w:hAnsi="Arial" w:cs="Arial"/>
          <w:lang w:eastAsia="en-GB" w:bidi="he-IL"/>
        </w:rPr>
        <w:t>reasoning;</w:t>
      </w:r>
      <w:proofErr w:type="gramEnd"/>
      <w:r w:rsidRPr="002955B6">
        <w:rPr>
          <w:rFonts w:ascii="Arial" w:eastAsia="Times New Roman" w:hAnsi="Arial" w:cs="Arial"/>
          <w:lang w:eastAsia="en-GB" w:bidi="he-IL"/>
        </w:rPr>
        <w:t xml:space="preserve"> </w:t>
      </w:r>
    </w:p>
    <w:p w14:paraId="318AB858" w14:textId="77777777" w:rsidR="002955B6" w:rsidRPr="002955B6" w:rsidRDefault="002955B6" w:rsidP="002955B6">
      <w:pPr>
        <w:pStyle w:val="ListParagraph"/>
        <w:numPr>
          <w:ilvl w:val="0"/>
          <w:numId w:val="3"/>
        </w:numPr>
        <w:spacing w:before="100" w:beforeAutospacing="1" w:after="100" w:afterAutospacing="1" w:line="240" w:lineRule="auto"/>
        <w:rPr>
          <w:rFonts w:ascii="Arial" w:eastAsia="Times New Roman" w:hAnsi="Arial" w:cs="Arial"/>
          <w:lang w:eastAsia="en-GB" w:bidi="he-IL"/>
        </w:rPr>
      </w:pPr>
      <w:r w:rsidRPr="002955B6">
        <w:rPr>
          <w:rFonts w:ascii="Arial" w:eastAsia="Times New Roman" w:hAnsi="Arial" w:cs="Arial"/>
          <w:lang w:eastAsia="en-GB" w:bidi="he-IL"/>
        </w:rPr>
        <w:t xml:space="preserve">Development of Feudal Land Law, touching on political and economic as well as jurisprudential </w:t>
      </w:r>
      <w:proofErr w:type="gramStart"/>
      <w:r w:rsidRPr="002955B6">
        <w:rPr>
          <w:rFonts w:ascii="Arial" w:eastAsia="Times New Roman" w:hAnsi="Arial" w:cs="Arial"/>
          <w:lang w:eastAsia="en-GB" w:bidi="he-IL"/>
        </w:rPr>
        <w:t>change;</w:t>
      </w:r>
      <w:proofErr w:type="gramEnd"/>
      <w:r w:rsidRPr="002955B6">
        <w:rPr>
          <w:rFonts w:ascii="Arial" w:eastAsia="Times New Roman" w:hAnsi="Arial" w:cs="Arial"/>
          <w:lang w:eastAsia="en-GB" w:bidi="he-IL"/>
        </w:rPr>
        <w:t xml:space="preserve"> </w:t>
      </w:r>
    </w:p>
    <w:p w14:paraId="31CED419" w14:textId="77777777" w:rsidR="002955B6" w:rsidRPr="002955B6" w:rsidRDefault="002955B6" w:rsidP="002955B6">
      <w:pPr>
        <w:pStyle w:val="ListParagraph"/>
        <w:numPr>
          <w:ilvl w:val="0"/>
          <w:numId w:val="3"/>
        </w:numPr>
        <w:spacing w:before="100" w:beforeAutospacing="1" w:after="100" w:afterAutospacing="1" w:line="240" w:lineRule="auto"/>
        <w:rPr>
          <w:rFonts w:ascii="Arial" w:hAnsi="Arial" w:cs="Arial"/>
        </w:rPr>
      </w:pPr>
      <w:r w:rsidRPr="002955B6">
        <w:rPr>
          <w:rFonts w:ascii="Arial" w:eastAsia="Times New Roman" w:hAnsi="Arial" w:cs="Arial"/>
          <w:lang w:eastAsia="en-GB" w:bidi="he-IL"/>
        </w:rPr>
        <w:t>Nuisance (two questions), which could encompass i</w:t>
      </w:r>
      <w:r w:rsidRPr="002955B6">
        <w:rPr>
          <w:rFonts w:ascii="Arial" w:hAnsi="Arial" w:cs="Arial"/>
        </w:rPr>
        <w:t xml:space="preserve">ssues of standing, criminality, prosecutorial discretion and zoning for the public side; and on the private side, the interaction of real writs, assizes and trespass claims in defending the use and easements of </w:t>
      </w:r>
      <w:proofErr w:type="gramStart"/>
      <w:r w:rsidRPr="002955B6">
        <w:rPr>
          <w:rFonts w:ascii="Arial" w:hAnsi="Arial" w:cs="Arial"/>
        </w:rPr>
        <w:t>land;</w:t>
      </w:r>
      <w:proofErr w:type="gramEnd"/>
      <w:r w:rsidRPr="002955B6">
        <w:rPr>
          <w:rFonts w:ascii="Arial" w:hAnsi="Arial" w:cs="Arial"/>
        </w:rPr>
        <w:t xml:space="preserve"> </w:t>
      </w:r>
    </w:p>
    <w:p w14:paraId="66AB8B89" w14:textId="77777777" w:rsidR="002955B6" w:rsidRPr="002955B6" w:rsidRDefault="002955B6" w:rsidP="002955B6">
      <w:pPr>
        <w:pStyle w:val="ListParagraph"/>
        <w:numPr>
          <w:ilvl w:val="0"/>
          <w:numId w:val="3"/>
        </w:numPr>
        <w:spacing w:before="100" w:beforeAutospacing="1" w:after="100" w:afterAutospacing="1" w:line="240" w:lineRule="auto"/>
        <w:rPr>
          <w:rFonts w:ascii="Arial" w:eastAsia="Times New Roman" w:hAnsi="Arial" w:cs="Arial"/>
          <w:lang w:eastAsia="en-GB" w:bidi="he-IL"/>
        </w:rPr>
      </w:pPr>
      <w:r w:rsidRPr="002955B6">
        <w:rPr>
          <w:rFonts w:ascii="Arial" w:hAnsi="Arial" w:cs="Arial"/>
        </w:rPr>
        <w:t>N</w:t>
      </w:r>
      <w:r w:rsidRPr="002955B6">
        <w:rPr>
          <w:rFonts w:ascii="Arial" w:eastAsia="Times New Roman" w:hAnsi="Arial" w:cs="Arial"/>
          <w:lang w:eastAsia="en-GB" w:bidi="he-IL"/>
        </w:rPr>
        <w:t xml:space="preserve">egligence, navigating the interaction of causes of action including theories of fault and causation embedded in the relevant </w:t>
      </w:r>
      <w:proofErr w:type="gramStart"/>
      <w:r w:rsidRPr="002955B6">
        <w:rPr>
          <w:rFonts w:ascii="Arial" w:eastAsia="Times New Roman" w:hAnsi="Arial" w:cs="Arial"/>
          <w:lang w:eastAsia="en-GB" w:bidi="he-IL"/>
        </w:rPr>
        <w:t>actions;</w:t>
      </w:r>
      <w:proofErr w:type="gramEnd"/>
      <w:r w:rsidRPr="002955B6">
        <w:rPr>
          <w:rFonts w:ascii="Arial" w:eastAsia="Times New Roman" w:hAnsi="Arial" w:cs="Arial"/>
          <w:lang w:eastAsia="en-GB" w:bidi="he-IL"/>
        </w:rPr>
        <w:t xml:space="preserve"> </w:t>
      </w:r>
    </w:p>
    <w:p w14:paraId="5E14F969" w14:textId="77777777" w:rsidR="002955B6" w:rsidRPr="002955B6" w:rsidRDefault="002955B6" w:rsidP="002955B6">
      <w:pPr>
        <w:pStyle w:val="ListParagraph"/>
        <w:numPr>
          <w:ilvl w:val="0"/>
          <w:numId w:val="3"/>
        </w:numPr>
        <w:spacing w:before="100" w:beforeAutospacing="1" w:after="100" w:afterAutospacing="1" w:line="240" w:lineRule="auto"/>
        <w:rPr>
          <w:rFonts w:ascii="Arial" w:eastAsia="Times New Roman" w:hAnsi="Arial" w:cs="Arial"/>
          <w:lang w:eastAsia="en-GB" w:bidi="he-IL"/>
        </w:rPr>
      </w:pPr>
      <w:r w:rsidRPr="002955B6">
        <w:rPr>
          <w:rFonts w:ascii="Arial" w:eastAsia="Times New Roman" w:hAnsi="Arial" w:cs="Arial"/>
          <w:lang w:eastAsia="en-GB" w:bidi="he-IL"/>
        </w:rPr>
        <w:t xml:space="preserve">Contract litigation and </w:t>
      </w:r>
      <w:r w:rsidRPr="002955B6">
        <w:rPr>
          <w:rFonts w:ascii="Arial" w:eastAsia="Times New Roman" w:hAnsi="Arial" w:cs="Arial"/>
          <w:i/>
          <w:iCs/>
          <w:lang w:eastAsia="en-GB" w:bidi="he-IL"/>
        </w:rPr>
        <w:t>Slade’s Case</w:t>
      </w:r>
      <w:r w:rsidRPr="002955B6">
        <w:rPr>
          <w:rFonts w:ascii="Arial" w:eastAsia="Times New Roman" w:hAnsi="Arial" w:cs="Arial"/>
          <w:lang w:eastAsia="en-GB" w:bidi="he-IL"/>
        </w:rPr>
        <w:t xml:space="preserve">, looking at the </w:t>
      </w:r>
      <w:r w:rsidRPr="002955B6">
        <w:rPr>
          <w:rFonts w:ascii="Arial" w:hAnsi="Arial" w:cs="Arial"/>
        </w:rPr>
        <w:t xml:space="preserve">hiving off of damages from debt </w:t>
      </w:r>
      <w:proofErr w:type="gramStart"/>
      <w:r w:rsidRPr="002955B6">
        <w:rPr>
          <w:rFonts w:ascii="Arial" w:hAnsi="Arial" w:cs="Arial"/>
        </w:rPr>
        <w:t>claims;</w:t>
      </w:r>
      <w:proofErr w:type="gramEnd"/>
    </w:p>
    <w:p w14:paraId="65B10789" w14:textId="77777777" w:rsidR="002955B6" w:rsidRPr="002955B6" w:rsidRDefault="002955B6" w:rsidP="002955B6">
      <w:pPr>
        <w:pStyle w:val="ListParagraph"/>
        <w:numPr>
          <w:ilvl w:val="0"/>
          <w:numId w:val="3"/>
        </w:numPr>
        <w:spacing w:before="100" w:beforeAutospacing="1" w:after="100" w:afterAutospacing="1" w:line="240" w:lineRule="auto"/>
        <w:rPr>
          <w:rFonts w:ascii="Arial" w:eastAsia="Times New Roman" w:hAnsi="Arial" w:cs="Arial"/>
          <w:lang w:eastAsia="en-GB" w:bidi="he-IL"/>
        </w:rPr>
      </w:pPr>
      <w:r w:rsidRPr="002955B6">
        <w:rPr>
          <w:rFonts w:ascii="Arial" w:eastAsia="Times New Roman" w:hAnsi="Arial" w:cs="Arial"/>
          <w:lang w:eastAsia="en-GB" w:bidi="he-IL"/>
        </w:rPr>
        <w:t xml:space="preserve">Consideration, concerning ideas of bargain and the philosophical bases for </w:t>
      </w:r>
      <w:proofErr w:type="gramStart"/>
      <w:r w:rsidRPr="002955B6">
        <w:rPr>
          <w:rFonts w:ascii="Arial" w:eastAsia="Times New Roman" w:hAnsi="Arial" w:cs="Arial"/>
          <w:lang w:eastAsia="en-GB" w:bidi="he-IL"/>
        </w:rPr>
        <w:t>legally-enforceable</w:t>
      </w:r>
      <w:proofErr w:type="gramEnd"/>
      <w:r w:rsidRPr="002955B6">
        <w:rPr>
          <w:rFonts w:ascii="Arial" w:eastAsia="Times New Roman" w:hAnsi="Arial" w:cs="Arial"/>
          <w:lang w:eastAsia="en-GB" w:bidi="he-IL"/>
        </w:rPr>
        <w:t xml:space="preserve"> promising. </w:t>
      </w:r>
    </w:p>
    <w:p w14:paraId="537AFD2B" w14:textId="77777777" w:rsidR="002955B6" w:rsidRPr="002955B6" w:rsidRDefault="002955B6" w:rsidP="002955B6">
      <w:pPr>
        <w:spacing w:before="100" w:beforeAutospacing="1" w:after="100" w:afterAutospacing="1"/>
        <w:rPr>
          <w:rFonts w:cs="Arial"/>
          <w:lang w:eastAsia="en-GB" w:bidi="he-IL"/>
        </w:rPr>
      </w:pPr>
      <w:r w:rsidRPr="002955B6">
        <w:rPr>
          <w:rFonts w:cs="Arial"/>
          <w:lang w:eastAsia="en-GB" w:bidi="he-IL"/>
        </w:rPr>
        <w:t xml:space="preserve">No-one attempted the questions on books of authority, statutes, leasehold, or the trespass/ case boundary. </w:t>
      </w:r>
    </w:p>
    <w:p w14:paraId="304F31C4" w14:textId="77777777" w:rsidR="002955B6" w:rsidRPr="002955B6" w:rsidRDefault="002955B6" w:rsidP="002955B6">
      <w:pPr>
        <w:spacing w:before="100" w:beforeAutospacing="1" w:after="100" w:afterAutospacing="1"/>
        <w:rPr>
          <w:rFonts w:cs="Arial"/>
          <w:lang w:eastAsia="en-GB" w:bidi="he-IL"/>
        </w:rPr>
      </w:pPr>
      <w:r w:rsidRPr="002955B6">
        <w:rPr>
          <w:rFonts w:cs="Arial"/>
          <w:lang w:eastAsia="en-GB" w:bidi="he-IL"/>
        </w:rPr>
        <w:t>Candidates should in general be reminded to pay close attention to what exactly the question is asking, rather than trying to put in everything they know about the general area of the question. Next year this option will move to submitted essays in place of the examination; the point will be if anything more important.</w:t>
      </w:r>
    </w:p>
    <w:p w14:paraId="25B0ADE0" w14:textId="77777777" w:rsidR="002610D3" w:rsidRDefault="002610D3" w:rsidP="002610D3">
      <w:pPr>
        <w:widowControl w:val="0"/>
        <w:spacing w:after="0"/>
        <w:rPr>
          <w:rFonts w:eastAsia="PMingLiU" w:cs="Arial"/>
          <w:szCs w:val="22"/>
        </w:rPr>
      </w:pPr>
      <w:r w:rsidRPr="002610D3">
        <w:rPr>
          <w:b/>
          <w:bCs/>
        </w:rPr>
        <w:lastRenderedPageBreak/>
        <w:t>HUMAN RIGHTS LAW</w:t>
      </w:r>
      <w:r>
        <w:rPr>
          <w:b/>
          <w:bCs/>
        </w:rPr>
        <w:br/>
      </w:r>
      <w:r>
        <w:rPr>
          <w:b/>
          <w:bCs/>
        </w:rPr>
        <w:br/>
      </w:r>
      <w:r>
        <w:rPr>
          <w:rFonts w:eastAsia="PMingLiU" w:cs="Arial"/>
          <w:szCs w:val="22"/>
        </w:rPr>
        <w:t xml:space="preserve">Overall, this was a solid year in Human Rights Law. As to the distribution of marks, there were 6 firsts with the remainder of scripts receiving a 2:1. </w:t>
      </w:r>
    </w:p>
    <w:p w14:paraId="060B2F9D" w14:textId="77777777" w:rsidR="002610D3" w:rsidRDefault="002610D3" w:rsidP="002610D3">
      <w:pPr>
        <w:widowControl w:val="0"/>
        <w:spacing w:after="0"/>
        <w:rPr>
          <w:rFonts w:eastAsia="PMingLiU" w:cs="Arial"/>
          <w:szCs w:val="22"/>
        </w:rPr>
      </w:pPr>
    </w:p>
    <w:p w14:paraId="762E4737" w14:textId="77777777" w:rsidR="002610D3" w:rsidRDefault="002610D3" w:rsidP="002610D3">
      <w:pPr>
        <w:widowControl w:val="0"/>
        <w:spacing w:after="0"/>
        <w:rPr>
          <w:rFonts w:eastAsia="PMingLiU" w:cs="Arial"/>
          <w:szCs w:val="22"/>
        </w:rPr>
      </w:pPr>
      <w:r>
        <w:rPr>
          <w:rFonts w:eastAsia="PMingLiU" w:cs="Arial"/>
          <w:szCs w:val="22"/>
        </w:rPr>
        <w:t>The strongest answers were dotted across questions – with students writing excellent responses to questions on prisoners’ rights (Q3), proportionality (Q5), the margin of appreciation (Q7), the right to life (Q8). It was gratifying to see detailed engagement with case law drawn together with critical work.</w:t>
      </w:r>
    </w:p>
    <w:p w14:paraId="686EF71F" w14:textId="77777777" w:rsidR="002610D3" w:rsidRDefault="002610D3" w:rsidP="002610D3">
      <w:pPr>
        <w:widowControl w:val="0"/>
        <w:spacing w:after="0"/>
        <w:rPr>
          <w:rFonts w:eastAsia="PMingLiU" w:cs="Arial"/>
          <w:szCs w:val="22"/>
        </w:rPr>
      </w:pPr>
    </w:p>
    <w:p w14:paraId="17355FA7" w14:textId="040B6111" w:rsidR="002610D3" w:rsidRPr="002610D3" w:rsidRDefault="002610D3" w:rsidP="002610D3">
      <w:pPr>
        <w:rPr>
          <w:b/>
          <w:bCs/>
        </w:rPr>
      </w:pPr>
      <w:r>
        <w:rPr>
          <w:rFonts w:eastAsia="PMingLiU" w:cs="Arial"/>
          <w:szCs w:val="22"/>
        </w:rPr>
        <w:t>Where responses fell slightly short was in providing purely descriptive answers or not responding directly to the question. Responses of this kind were, however, rare, with most answers engaging with scholarly literature and staying on topic.</w:t>
      </w:r>
    </w:p>
    <w:p w14:paraId="5704E183" w14:textId="77777777" w:rsidR="00C83091" w:rsidRDefault="00C83091" w:rsidP="00C83091">
      <w:r>
        <w:rPr>
          <w:b/>
          <w:bCs/>
          <w:szCs w:val="22"/>
        </w:rPr>
        <w:t>INTERNATIONAL TRADE</w:t>
      </w:r>
      <w:r>
        <w:rPr>
          <w:b/>
          <w:bCs/>
          <w:szCs w:val="22"/>
        </w:rPr>
        <w:br/>
      </w:r>
      <w:r>
        <w:rPr>
          <w:b/>
          <w:bCs/>
          <w:szCs w:val="22"/>
        </w:rPr>
        <w:br/>
      </w:r>
      <w:r>
        <w:t xml:space="preserve">The overall standard was </w:t>
      </w:r>
      <w:proofErr w:type="gramStart"/>
      <w:r>
        <w:t>similar to</w:t>
      </w:r>
      <w:proofErr w:type="gramEnd"/>
      <w:r>
        <w:t xml:space="preserve"> that in previous years. It was disappointing that more candidates did not attempt an essay question. As no essay question was answered by more than one candidate, no comments will be made about the essays. </w:t>
      </w:r>
    </w:p>
    <w:p w14:paraId="14D59D5C" w14:textId="77777777" w:rsidR="00C83091" w:rsidRDefault="00C83091" w:rsidP="00C83091">
      <w:r>
        <w:t>Question 6</w:t>
      </w:r>
    </w:p>
    <w:p w14:paraId="16841278" w14:textId="77777777" w:rsidR="00C83091" w:rsidRDefault="00C83091" w:rsidP="00C83091">
      <w:r>
        <w:t xml:space="preserve">This was a popular question. Most candidates realised that this was a </w:t>
      </w:r>
      <w:proofErr w:type="spellStart"/>
      <w:r>
        <w:t>cif</w:t>
      </w:r>
      <w:proofErr w:type="spellEnd"/>
      <w:r>
        <w:t xml:space="preserve"> contract so that S had done all that was required of him by tendering conforming documents, though some spent rather too much time on this point than was strictly warranted. There were good discussions of the contractual carrier point and the Hague/Visby Rules were, </w:t>
      </w:r>
      <w:proofErr w:type="gramStart"/>
      <w:r>
        <w:t>on the whole</w:t>
      </w:r>
      <w:proofErr w:type="gramEnd"/>
      <w:r>
        <w:t xml:space="preserve">, applied competently, with some good analyses of the relationship between the </w:t>
      </w:r>
      <w:proofErr w:type="spellStart"/>
      <w:r>
        <w:rPr>
          <w:i/>
        </w:rPr>
        <w:t>faute</w:t>
      </w:r>
      <w:proofErr w:type="spellEnd"/>
      <w:r>
        <w:rPr>
          <w:i/>
        </w:rPr>
        <w:t xml:space="preserve"> </w:t>
      </w:r>
      <w:proofErr w:type="spellStart"/>
      <w:r>
        <w:rPr>
          <w:i/>
        </w:rPr>
        <w:t>nautique</w:t>
      </w:r>
      <w:proofErr w:type="spellEnd"/>
      <w:r>
        <w:rPr>
          <w:i/>
        </w:rPr>
        <w:t xml:space="preserve"> </w:t>
      </w:r>
      <w:r>
        <w:t xml:space="preserve">exception and the duty to secure the cargo safely and below decks as contractually agreed (though in some weaker answers the deck stowage was not treated as a separate breach of contract, but only as an aspect of III.2 HVR). Most candidates went on to discuss the actual carrier problem as well as possible claims in tort against the stevedores. </w:t>
      </w:r>
    </w:p>
    <w:p w14:paraId="234A5543" w14:textId="77777777" w:rsidR="00C83091" w:rsidRDefault="00C83091" w:rsidP="00C83091">
      <w:r>
        <w:t>Question 7</w:t>
      </w:r>
    </w:p>
    <w:p w14:paraId="75B5A39C" w14:textId="77777777" w:rsidR="00C83091" w:rsidRDefault="00C83091" w:rsidP="00C83091"/>
    <w:p w14:paraId="54528152" w14:textId="77777777" w:rsidR="00C83091" w:rsidRDefault="00C83091" w:rsidP="00C83091">
      <w:r>
        <w:t>Key to this question, again quite a popular one, was to identify who would be suing whom. Careful analysis was then required when it came to any damages, the main question (which some ignored) being whether the market loss would be thrown on F or stay with G. Most candidates saw the possible fraud and peas/beans exceptions in variation (b), though some failed adequately to differentiate fraud, peas/</w:t>
      </w:r>
      <w:proofErr w:type="gramStart"/>
      <w:r>
        <w:t>beans</w:t>
      </w:r>
      <w:proofErr w:type="gramEnd"/>
      <w:r>
        <w:t xml:space="preserve"> and the genuine document issue. There were sophisticated analyses of the impact of the false dating in variation (c), with most seeing the </w:t>
      </w:r>
      <w:r>
        <w:rPr>
          <w:i/>
        </w:rPr>
        <w:t xml:space="preserve">Procter &amp; </w:t>
      </w:r>
      <w:r>
        <w:rPr>
          <w:i/>
        </w:rPr>
        <w:lastRenderedPageBreak/>
        <w:t xml:space="preserve">Gamble </w:t>
      </w:r>
      <w:r>
        <w:t xml:space="preserve">point, and a possible ‘locked-in’ argument, though some candidates made the mistake of thinking that because the shipment was on time the false dating of the bill of lading was not a breach at all. </w:t>
      </w:r>
    </w:p>
    <w:p w14:paraId="0C296A67" w14:textId="77777777" w:rsidR="00C83091" w:rsidRDefault="00C83091" w:rsidP="00C83091">
      <w:r>
        <w:t>Question 8</w:t>
      </w:r>
    </w:p>
    <w:p w14:paraId="5A5E92A7" w14:textId="77777777" w:rsidR="00C83091" w:rsidRDefault="00C83091" w:rsidP="00C83091">
      <w:r>
        <w:t xml:space="preserve">One of the two less popular problem questions, though still plenty of takers. A pleasing proportion of scripts contained a good discussion of s. 20(2) Sale of Goods Act 1979 and there were excellent analyses/distinctions of </w:t>
      </w:r>
      <w:r>
        <w:rPr>
          <w:i/>
        </w:rPr>
        <w:t>Cunningham v Munro</w:t>
      </w:r>
      <w:r>
        <w:rPr>
          <w:iCs/>
        </w:rPr>
        <w:t>, although not all candidates adequately differentiated arguments from risk from those based on an independent obligation giving rise to recovery</w:t>
      </w:r>
      <w:r>
        <w:t xml:space="preserve">. There was some confusion in the context of cancellation of the </w:t>
      </w:r>
      <w:r>
        <w:rPr>
          <w:i/>
        </w:rPr>
        <w:t>Nina</w:t>
      </w:r>
      <w:r>
        <w:t xml:space="preserve">’s charter, with some candidates being under the impression that damages in respect of the damaged rice were recoverable from L (as opposed to just the difference in freight). </w:t>
      </w:r>
    </w:p>
    <w:p w14:paraId="4AA914D9" w14:textId="77777777" w:rsidR="00C83091" w:rsidRDefault="00C83091" w:rsidP="00C83091">
      <w:r>
        <w:t>Question 9</w:t>
      </w:r>
    </w:p>
    <w:p w14:paraId="30B35DDC" w14:textId="03A2F81F" w:rsidR="00C83091" w:rsidRDefault="00C83091" w:rsidP="00C83091">
      <w:r>
        <w:t xml:space="preserve">This question was the least popular problem question. It raised complicated issues involving overlapping bulks which are not readily answered by s. 20A Sale of Goods Act 1979 which were spotted by the best candidates. There was some excellent discussion of the meaning of ‘bulk’ in s. 20A, and application of this to the facts. </w:t>
      </w:r>
    </w:p>
    <w:p w14:paraId="6C2481A8" w14:textId="77777777" w:rsidR="00C83091" w:rsidRDefault="00C83091" w:rsidP="00C83091">
      <w:proofErr w:type="gramStart"/>
      <w:r>
        <w:t>A number of</w:t>
      </w:r>
      <w:proofErr w:type="gramEnd"/>
      <w:r>
        <w:t xml:space="preserve"> candidates took the point that the delivery orders were probably not </w:t>
      </w:r>
      <w:r>
        <w:rPr>
          <w:i/>
        </w:rPr>
        <w:t xml:space="preserve">ship’s </w:t>
      </w:r>
      <w:r>
        <w:t xml:space="preserve">delivery orders so that their holders did not acquire rights of suit under s. 2(1)(c) Carriage of Goods by Sea Act 1992. The question was ambiguous on this point, which caused the better answers to discuss both possibilities (rather than to take the easy route out of the difficulty by denying the right of action). The discussion of possible cargo claims was generally sound, though some of the weaker answers missed the issue. </w:t>
      </w:r>
    </w:p>
    <w:p w14:paraId="3D2C75AF" w14:textId="77777777" w:rsidR="00C83091" w:rsidRDefault="00C83091" w:rsidP="00C83091">
      <w:r>
        <w:t>Question 10</w:t>
      </w:r>
    </w:p>
    <w:p w14:paraId="6827B22C" w14:textId="77777777" w:rsidR="00C83091" w:rsidRDefault="00C83091" w:rsidP="00C83091">
      <w:r>
        <w:t xml:space="preserve">(a) Most candidates realised that there was a potential variation of contract point, but this was resolved in a myriad of different ways. Some rejected the possibility of variation out of hand, while others acknowledged the possibility but then failed to go on to consider the consequences adequately. Some candidates invoked the concept of ‘waiver’ without making it clear exactly what they meant by this. </w:t>
      </w:r>
    </w:p>
    <w:p w14:paraId="55EB3227" w14:textId="77777777" w:rsidR="00C83091" w:rsidRDefault="00C83091" w:rsidP="00C83091"/>
    <w:p w14:paraId="3AEFD8C9" w14:textId="77777777" w:rsidR="00C83091" w:rsidRDefault="00C83091" w:rsidP="00C83091">
      <w:r>
        <w:t xml:space="preserve">(b) This was a standard </w:t>
      </w:r>
      <w:proofErr w:type="spellStart"/>
      <w:r>
        <w:rPr>
          <w:i/>
        </w:rPr>
        <w:t>Afovos</w:t>
      </w:r>
      <w:proofErr w:type="spellEnd"/>
      <w:r>
        <w:rPr>
          <w:i/>
        </w:rPr>
        <w:t xml:space="preserve"> </w:t>
      </w:r>
      <w:proofErr w:type="gramStart"/>
      <w:r>
        <w:t>point</w:t>
      </w:r>
      <w:proofErr w:type="gramEnd"/>
      <w:r>
        <w:t xml:space="preserve"> and most candidates dealt with this with the brevity it deserved. </w:t>
      </w:r>
    </w:p>
    <w:p w14:paraId="5B3FFB25" w14:textId="3708DA8A" w:rsidR="00C83091" w:rsidRDefault="00C83091" w:rsidP="00C83091">
      <w:r>
        <w:t xml:space="preserve">(c) A pleasing number of candidates did not only see that relief against forfeiture is on the cards for demise </w:t>
      </w:r>
      <w:proofErr w:type="gramStart"/>
      <w:r>
        <w:t>charters, but</w:t>
      </w:r>
      <w:proofErr w:type="gramEnd"/>
      <w:r>
        <w:t xml:space="preserve"> went on to consider the merits of the case in contrast with the </w:t>
      </w:r>
      <w:r>
        <w:rPr>
          <w:i/>
        </w:rPr>
        <w:t>Jotunheim</w:t>
      </w:r>
      <w:r>
        <w:t xml:space="preserve"> decision. </w:t>
      </w:r>
    </w:p>
    <w:p w14:paraId="53E78D77" w14:textId="77777777" w:rsidR="00C83091" w:rsidRPr="00007A36" w:rsidRDefault="00C83091" w:rsidP="00C83091">
      <w:r>
        <w:lastRenderedPageBreak/>
        <w:t xml:space="preserve">(d) Only a minority of candidates appreciated that withdrawal pursuant to the withdrawal clause would have worked to W’s disadvantage in this scenario. Better answers </w:t>
      </w:r>
      <w:proofErr w:type="gramStart"/>
      <w:r>
        <w:t>gave full consideration to</w:t>
      </w:r>
      <w:proofErr w:type="gramEnd"/>
      <w:r>
        <w:t xml:space="preserve"> the relationship between the express withdrawal clause and termination for breach, while weaker ones failed to engage properly with the damages issue.  </w:t>
      </w:r>
    </w:p>
    <w:p w14:paraId="27877011" w14:textId="04FA6B9D" w:rsidR="002610D3" w:rsidRDefault="002610D3" w:rsidP="002610D3">
      <w:pPr>
        <w:rPr>
          <w:szCs w:val="22"/>
        </w:rPr>
      </w:pPr>
      <w:r w:rsidRPr="002610D3">
        <w:rPr>
          <w:b/>
          <w:bCs/>
          <w:szCs w:val="22"/>
        </w:rPr>
        <w:t>LAND LAW</w:t>
      </w:r>
      <w:r>
        <w:rPr>
          <w:szCs w:val="22"/>
        </w:rPr>
        <w:br/>
      </w:r>
      <w:r>
        <w:rPr>
          <w:szCs w:val="22"/>
        </w:rPr>
        <w:br/>
      </w:r>
      <w:r w:rsidRPr="00B05C1D">
        <w:rPr>
          <w:szCs w:val="22"/>
        </w:rPr>
        <w:t xml:space="preserve">The </w:t>
      </w:r>
      <w:r>
        <w:rPr>
          <w:szCs w:val="22"/>
        </w:rPr>
        <w:t xml:space="preserve">Land Law FHS paper was unfortunately uploaded with an incorrect rubric, directing candidates to answer at least two of the problem questions, rather than to answer at least one of those questions. The marking team and the Exam Board took both specific and general steps to mitigate this problem. Specifically, candidates who complied with the expected rubric and so answered four questions, at least one of which was a problem question, were not treated as having breached the rubric. Further, if a candidate answered two problem questions among their four answers, and one of the problem questions answers received the lowest mark of their four answers, that answer was given the average of the three other marks, and so the mark for that answer was thus disregarded in calculating the overall mark for the candidate’s script. More generally, markers and the Exam Board were aware of the disruption and uncertainty caused by the incorrect rubric and took that into account in reaching an overall view of candidate’s performance in the paper. </w:t>
      </w:r>
    </w:p>
    <w:p w14:paraId="4F535EC0" w14:textId="77777777" w:rsidR="002610D3" w:rsidRDefault="002610D3" w:rsidP="002610D3">
      <w:pPr>
        <w:rPr>
          <w:szCs w:val="22"/>
        </w:rPr>
      </w:pPr>
      <w:r>
        <w:rPr>
          <w:szCs w:val="22"/>
        </w:rPr>
        <w:t xml:space="preserve">Notwithstanding the problem with the rubric, the overall standard of scripts was impressive. Candidates’ overall performance in the subject was stronger than in 2019, with a significantly higher percentage of </w:t>
      </w:r>
      <w:proofErr w:type="gramStart"/>
      <w:r>
        <w:rPr>
          <w:szCs w:val="22"/>
        </w:rPr>
        <w:t>first class</w:t>
      </w:r>
      <w:proofErr w:type="gramEnd"/>
      <w:r>
        <w:rPr>
          <w:szCs w:val="22"/>
        </w:rPr>
        <w:t xml:space="preserve"> marks, and a significantly lower percentage of marks lower than 60. The percentage of marks lower than 60 was also lower than the percentage of such marks awarded in 2018. This was a product of the standard of the answers given, rather than of the special approach to marking discussed above.</w:t>
      </w:r>
    </w:p>
    <w:p w14:paraId="1EA428D3" w14:textId="77777777" w:rsidR="002610D3" w:rsidRDefault="002610D3" w:rsidP="002610D3">
      <w:pPr>
        <w:rPr>
          <w:szCs w:val="22"/>
        </w:rPr>
      </w:pPr>
      <w:r>
        <w:rPr>
          <w:szCs w:val="22"/>
        </w:rPr>
        <w:t xml:space="preserve">Question 1: This was not a very popular question. At the top end, some excellent answers engaged with the distinction between description and understanding and considered both relevant secondary literature (such as articles by Hargreaves and Cheshire) and case-law (such as Lord Templeman’s use of ownership to assist in the definition of a lease in </w:t>
      </w:r>
      <w:r>
        <w:rPr>
          <w:i/>
          <w:szCs w:val="22"/>
        </w:rPr>
        <w:t>Street v Mountford</w:t>
      </w:r>
      <w:r>
        <w:rPr>
          <w:szCs w:val="22"/>
        </w:rPr>
        <w:t xml:space="preserve">). </w:t>
      </w:r>
    </w:p>
    <w:p w14:paraId="26F6B356" w14:textId="77777777" w:rsidR="002610D3" w:rsidRDefault="002610D3" w:rsidP="002610D3">
      <w:pPr>
        <w:rPr>
          <w:szCs w:val="22"/>
        </w:rPr>
      </w:pPr>
      <w:r>
        <w:rPr>
          <w:szCs w:val="22"/>
        </w:rPr>
        <w:t xml:space="preserve">Question 2: This was a very popular question. It attracted </w:t>
      </w:r>
      <w:proofErr w:type="gramStart"/>
      <w:r>
        <w:rPr>
          <w:szCs w:val="22"/>
        </w:rPr>
        <w:t>a large number of</w:t>
      </w:r>
      <w:proofErr w:type="gramEnd"/>
      <w:r>
        <w:rPr>
          <w:szCs w:val="22"/>
        </w:rPr>
        <w:t xml:space="preserve"> good answers, which engaged with the specific question, and in particular the advantages and disadvantages of statutory or judicial reform. An ability to set out the law clearly and concisely also marked out the better answers. The weaker answers consisted of general discussions of this area of law and included only cursory, if any, consideration of the specific question. In setting out the developments since 2000, many answers would have benefitted from separating out more clearly the tests used by the courts at the initial stage of establishing a beneficial interest from those used at the subsequent stage of ascertaining the extent of that interest.</w:t>
      </w:r>
    </w:p>
    <w:p w14:paraId="06E1E9E6" w14:textId="77777777" w:rsidR="002610D3" w:rsidRDefault="002610D3" w:rsidP="002610D3">
      <w:pPr>
        <w:rPr>
          <w:szCs w:val="22"/>
        </w:rPr>
      </w:pPr>
      <w:r>
        <w:rPr>
          <w:szCs w:val="22"/>
        </w:rPr>
        <w:t xml:space="preserve">Question 3: This was not a very popular </w:t>
      </w:r>
      <w:proofErr w:type="gramStart"/>
      <w:r>
        <w:rPr>
          <w:szCs w:val="22"/>
        </w:rPr>
        <w:t>question</w:t>
      </w:r>
      <w:proofErr w:type="gramEnd"/>
      <w:r>
        <w:rPr>
          <w:szCs w:val="22"/>
        </w:rPr>
        <w:t xml:space="preserve"> but some excellent answers looked carefully at Article 1 of Protocol 1 of the ECHR and its application in cases such as </w:t>
      </w:r>
      <w:r>
        <w:rPr>
          <w:i/>
          <w:szCs w:val="22"/>
        </w:rPr>
        <w:t xml:space="preserve">Pye </w:t>
      </w:r>
      <w:r>
        <w:rPr>
          <w:szCs w:val="22"/>
        </w:rPr>
        <w:t xml:space="preserve">and </w:t>
      </w:r>
      <w:r>
        <w:rPr>
          <w:i/>
          <w:szCs w:val="22"/>
        </w:rPr>
        <w:t>Mott</w:t>
      </w:r>
      <w:r>
        <w:rPr>
          <w:szCs w:val="22"/>
        </w:rPr>
        <w:t xml:space="preserve">, noting for example the distinction between control of use and deprivation. </w:t>
      </w:r>
    </w:p>
    <w:p w14:paraId="02DAD5E0" w14:textId="77777777" w:rsidR="002610D3" w:rsidRDefault="002610D3" w:rsidP="002610D3">
      <w:pPr>
        <w:rPr>
          <w:szCs w:val="22"/>
        </w:rPr>
      </w:pPr>
      <w:r>
        <w:rPr>
          <w:szCs w:val="22"/>
        </w:rPr>
        <w:lastRenderedPageBreak/>
        <w:t xml:space="preserve">Question 4: This was not a very popular </w:t>
      </w:r>
      <w:proofErr w:type="gramStart"/>
      <w:r>
        <w:rPr>
          <w:szCs w:val="22"/>
        </w:rPr>
        <w:t>question</w:t>
      </w:r>
      <w:proofErr w:type="gramEnd"/>
      <w:r>
        <w:rPr>
          <w:szCs w:val="22"/>
        </w:rPr>
        <w:t xml:space="preserve"> but it led to some very thoughtful answers reflecting on the development of the restrictive covenant as an interest in land and comparing it to the easement. Strong answers also sought to identify specific functions performed by the restrictive covenant, and the strongest linked those functions to the specific content of the restrictive </w:t>
      </w:r>
      <w:proofErr w:type="gramStart"/>
      <w:r>
        <w:rPr>
          <w:szCs w:val="22"/>
        </w:rPr>
        <w:t>covenant, and</w:t>
      </w:r>
      <w:proofErr w:type="gramEnd"/>
      <w:r>
        <w:rPr>
          <w:szCs w:val="22"/>
        </w:rPr>
        <w:t xml:space="preserve"> asked whether effective performance of such functions requires changes to the current law.</w:t>
      </w:r>
    </w:p>
    <w:p w14:paraId="118269BC" w14:textId="77777777" w:rsidR="002610D3" w:rsidRDefault="002610D3" w:rsidP="002610D3">
      <w:pPr>
        <w:rPr>
          <w:szCs w:val="22"/>
        </w:rPr>
      </w:pPr>
      <w:r>
        <w:rPr>
          <w:szCs w:val="22"/>
        </w:rPr>
        <w:t xml:space="preserve">Question 5: This was not a very popular </w:t>
      </w:r>
      <w:proofErr w:type="gramStart"/>
      <w:r>
        <w:rPr>
          <w:szCs w:val="22"/>
        </w:rPr>
        <w:t>question</w:t>
      </w:r>
      <w:proofErr w:type="gramEnd"/>
      <w:r>
        <w:rPr>
          <w:szCs w:val="22"/>
        </w:rPr>
        <w:t xml:space="preserve"> but good answers carefully considered both equitable and statutory control of the mortgagor-mortgagee relationship, and strong answers focussed on limits to the legislative intervention and considered whether equity might have a role to play in such cases.</w:t>
      </w:r>
    </w:p>
    <w:p w14:paraId="68E447A4" w14:textId="77777777" w:rsidR="002610D3" w:rsidRPr="007C227A" w:rsidRDefault="002610D3" w:rsidP="002610D3">
      <w:pPr>
        <w:rPr>
          <w:szCs w:val="22"/>
        </w:rPr>
      </w:pPr>
      <w:r w:rsidRPr="007C227A">
        <w:rPr>
          <w:szCs w:val="22"/>
        </w:rPr>
        <w:t>Question 6:  Although some way behind Question 2 in terms of responses, this was the second most popular of the essay questions. It provided an opportunity to consider both the general question and to reflect on the specific issue arising in relation to rights to rectify the register</w:t>
      </w:r>
      <w:r>
        <w:rPr>
          <w:szCs w:val="22"/>
        </w:rPr>
        <w:t xml:space="preserve"> in </w:t>
      </w:r>
      <w:r>
        <w:rPr>
          <w:i/>
          <w:szCs w:val="22"/>
        </w:rPr>
        <w:t>Swift 1st</w:t>
      </w:r>
      <w:r w:rsidRPr="007C227A">
        <w:rPr>
          <w:szCs w:val="22"/>
        </w:rPr>
        <w:t xml:space="preserve">. Stronger answers considered the specific role played within a registration scheme by each of overriding interests and indemnity payments. </w:t>
      </w:r>
    </w:p>
    <w:p w14:paraId="66A92314" w14:textId="77777777" w:rsidR="002610D3" w:rsidRPr="007C227A" w:rsidRDefault="002610D3" w:rsidP="002610D3">
      <w:pPr>
        <w:rPr>
          <w:szCs w:val="22"/>
        </w:rPr>
      </w:pPr>
      <w:r w:rsidRPr="007C227A">
        <w:rPr>
          <w:szCs w:val="22"/>
        </w:rPr>
        <w:t xml:space="preserve">Question 7: </w:t>
      </w:r>
      <w:r>
        <w:rPr>
          <w:szCs w:val="22"/>
        </w:rPr>
        <w:t>Like all the problem questions, t</w:t>
      </w:r>
      <w:r w:rsidRPr="007C227A">
        <w:rPr>
          <w:szCs w:val="22"/>
        </w:rPr>
        <w:t>his was a reasonably popular question and those choosing it generally showed good knowledge o</w:t>
      </w:r>
      <w:r>
        <w:rPr>
          <w:szCs w:val="22"/>
        </w:rPr>
        <w:t>f</w:t>
      </w:r>
      <w:r w:rsidRPr="007C227A">
        <w:rPr>
          <w:szCs w:val="22"/>
        </w:rPr>
        <w:t xml:space="preserve"> the relatively recent case-law (such as </w:t>
      </w:r>
      <w:r w:rsidRPr="007C227A">
        <w:rPr>
          <w:i/>
          <w:szCs w:val="22"/>
        </w:rPr>
        <w:t xml:space="preserve">NRAM v Evans </w:t>
      </w:r>
      <w:r w:rsidRPr="007C227A">
        <w:rPr>
          <w:szCs w:val="22"/>
        </w:rPr>
        <w:t xml:space="preserve">and </w:t>
      </w:r>
      <w:r w:rsidRPr="007C227A">
        <w:rPr>
          <w:i/>
          <w:szCs w:val="22"/>
        </w:rPr>
        <w:t>Gold Harp</w:t>
      </w:r>
      <w:r w:rsidRPr="007C227A">
        <w:rPr>
          <w:szCs w:val="22"/>
        </w:rPr>
        <w:t>) on the definition of mistake in the context of rectification. Answers were not always clear on the detail of the specific protection given to a registered proprietor in possession and some otherwise strong answers failed to advise the parties on the possibilities of receiving an indemnity payment.</w:t>
      </w:r>
    </w:p>
    <w:p w14:paraId="63EAE81A" w14:textId="77777777" w:rsidR="002610D3" w:rsidRPr="007C227A" w:rsidRDefault="002610D3" w:rsidP="002610D3">
      <w:pPr>
        <w:rPr>
          <w:szCs w:val="22"/>
        </w:rPr>
      </w:pPr>
      <w:r w:rsidRPr="007C227A">
        <w:rPr>
          <w:szCs w:val="22"/>
        </w:rPr>
        <w:t xml:space="preserve">Question 8: This was a reasonably popular question and the points on severance were generally well handled, although some candidates were less assured on the rules applying to determine if the parties were initially joint tenants in equity. Weaker answers failed to engage properly with the priority issues and would have benefitted from separating out the possible arguments T Bank might make to claim priority, such as the consent of S; priority under s 29 of the 2002 Act; and overreaching under s 2 of the 1925 Act. </w:t>
      </w:r>
    </w:p>
    <w:p w14:paraId="6AABC5BA" w14:textId="77777777" w:rsidR="002610D3" w:rsidRPr="007C227A" w:rsidRDefault="002610D3" w:rsidP="002610D3">
      <w:pPr>
        <w:rPr>
          <w:szCs w:val="22"/>
        </w:rPr>
      </w:pPr>
      <w:r w:rsidRPr="007C227A">
        <w:rPr>
          <w:szCs w:val="22"/>
        </w:rPr>
        <w:t xml:space="preserve">Question 9: This was the most popular question on the paper, and most candidates gave an assured treatment of at least one of the major issues, although it was surprisingly rare for answers to give an appropriately deep treatment of the </w:t>
      </w:r>
      <w:r w:rsidRPr="007C227A">
        <w:rPr>
          <w:i/>
          <w:szCs w:val="22"/>
        </w:rPr>
        <w:t xml:space="preserve">Bruton </w:t>
      </w:r>
      <w:r w:rsidRPr="007C227A">
        <w:rPr>
          <w:szCs w:val="22"/>
        </w:rPr>
        <w:t xml:space="preserve">and certainty of term issues and </w:t>
      </w:r>
      <w:r>
        <w:rPr>
          <w:szCs w:val="22"/>
        </w:rPr>
        <w:t xml:space="preserve">of </w:t>
      </w:r>
      <w:r w:rsidRPr="007C227A">
        <w:rPr>
          <w:szCs w:val="22"/>
        </w:rPr>
        <w:t xml:space="preserve">the question of whether a new obligation was assumed by E. Some candidates referred to a “licence coupled with a grant” as a means for an occupier to bind a third party and thus showed their lack of understanding of the concept, which was not relevant at all. </w:t>
      </w:r>
    </w:p>
    <w:p w14:paraId="5ACD6BAD" w14:textId="77777777" w:rsidR="002610D3" w:rsidRPr="007C227A" w:rsidRDefault="002610D3" w:rsidP="002610D3">
      <w:pPr>
        <w:rPr>
          <w:szCs w:val="22"/>
        </w:rPr>
      </w:pPr>
    </w:p>
    <w:p w14:paraId="15A8B666" w14:textId="77777777" w:rsidR="002610D3" w:rsidRPr="007C227A" w:rsidRDefault="002610D3" w:rsidP="002610D3">
      <w:pPr>
        <w:rPr>
          <w:szCs w:val="22"/>
        </w:rPr>
      </w:pPr>
      <w:r w:rsidRPr="007C227A">
        <w:rPr>
          <w:szCs w:val="22"/>
        </w:rPr>
        <w:t>Question 10: This was a popular question and there</w:t>
      </w:r>
      <w:r>
        <w:rPr>
          <w:szCs w:val="22"/>
        </w:rPr>
        <w:t xml:space="preserve"> was</w:t>
      </w:r>
      <w:r w:rsidRPr="007C227A">
        <w:rPr>
          <w:szCs w:val="22"/>
        </w:rPr>
        <w:t xml:space="preserve"> some good discussion of the </w:t>
      </w:r>
      <w:r w:rsidRPr="007C227A">
        <w:rPr>
          <w:i/>
          <w:szCs w:val="22"/>
        </w:rPr>
        <w:t xml:space="preserve">Regency Villas </w:t>
      </w:r>
      <w:r w:rsidRPr="007C227A">
        <w:rPr>
          <w:szCs w:val="22"/>
        </w:rPr>
        <w:t xml:space="preserve">decision and its possible limits. The question contained a large number of </w:t>
      </w:r>
      <w:proofErr w:type="gramStart"/>
      <w:r w:rsidRPr="007C227A">
        <w:rPr>
          <w:szCs w:val="22"/>
        </w:rPr>
        <w:t>points</w:t>
      </w:r>
      <w:proofErr w:type="gramEnd"/>
      <w:r w:rsidRPr="007C227A">
        <w:rPr>
          <w:szCs w:val="22"/>
        </w:rPr>
        <w:t xml:space="preserve"> so candidates were not expected to spot all possibly relevant points, although it was a little surprising that the reference to an “exclusive</w:t>
      </w:r>
      <w:r>
        <w:rPr>
          <w:szCs w:val="22"/>
        </w:rPr>
        <w:t>”</w:t>
      </w:r>
      <w:r w:rsidRPr="007C227A">
        <w:rPr>
          <w:szCs w:val="22"/>
        </w:rPr>
        <w:t xml:space="preserve"> right </w:t>
      </w:r>
      <w:r>
        <w:rPr>
          <w:szCs w:val="22"/>
        </w:rPr>
        <w:t>(in relation to storing equipment and bird-watching)</w:t>
      </w:r>
      <w:r w:rsidRPr="007C227A">
        <w:rPr>
          <w:szCs w:val="22"/>
        </w:rPr>
        <w:t xml:space="preserve"> alerted almost no candidates to the </w:t>
      </w:r>
      <w:r w:rsidRPr="007C227A">
        <w:rPr>
          <w:szCs w:val="22"/>
        </w:rPr>
        <w:lastRenderedPageBreak/>
        <w:t xml:space="preserve">possible relevance of </w:t>
      </w:r>
      <w:r w:rsidRPr="007C227A">
        <w:rPr>
          <w:i/>
          <w:szCs w:val="22"/>
        </w:rPr>
        <w:t>Hill v Tupper</w:t>
      </w:r>
      <w:r w:rsidRPr="007C227A">
        <w:rPr>
          <w:szCs w:val="22"/>
        </w:rPr>
        <w:t>. Some perennial errors as to easements appeared</w:t>
      </w:r>
      <w:r>
        <w:rPr>
          <w:szCs w:val="22"/>
        </w:rPr>
        <w:t>,</w:t>
      </w:r>
      <w:r w:rsidRPr="007C227A">
        <w:rPr>
          <w:szCs w:val="22"/>
        </w:rPr>
        <w:t xml:space="preserve"> such as the assumption that an implied easement must be equitable, and </w:t>
      </w:r>
      <w:r>
        <w:rPr>
          <w:szCs w:val="22"/>
        </w:rPr>
        <w:t xml:space="preserve">that s 62 can operate to create a new easement in a conveyance which only involves the transfer of the supposed dominant tenement to a new owner. A </w:t>
      </w:r>
      <w:r w:rsidRPr="007C227A">
        <w:rPr>
          <w:szCs w:val="22"/>
        </w:rPr>
        <w:t xml:space="preserve">small number of answers wrongly thought that </w:t>
      </w:r>
      <w:r w:rsidRPr="007C227A">
        <w:rPr>
          <w:i/>
          <w:szCs w:val="22"/>
        </w:rPr>
        <w:t xml:space="preserve">all </w:t>
      </w:r>
      <w:r w:rsidRPr="007C227A">
        <w:rPr>
          <w:szCs w:val="22"/>
        </w:rPr>
        <w:t>of the three possible means of a legal easement</w:t>
      </w:r>
      <w:r>
        <w:rPr>
          <w:szCs w:val="22"/>
        </w:rPr>
        <w:t xml:space="preserve">’s </w:t>
      </w:r>
      <w:r w:rsidRPr="007C227A">
        <w:rPr>
          <w:szCs w:val="22"/>
        </w:rPr>
        <w:t xml:space="preserve">having overriding effect under </w:t>
      </w:r>
      <w:proofErr w:type="spellStart"/>
      <w:r w:rsidRPr="007C227A">
        <w:rPr>
          <w:szCs w:val="22"/>
        </w:rPr>
        <w:t>Sch</w:t>
      </w:r>
      <w:proofErr w:type="spellEnd"/>
      <w:r w:rsidRPr="007C227A">
        <w:rPr>
          <w:szCs w:val="22"/>
        </w:rPr>
        <w:t xml:space="preserve"> 3, para 3 (</w:t>
      </w:r>
      <w:proofErr w:type="spellStart"/>
      <w:proofErr w:type="gramStart"/>
      <w:r w:rsidRPr="007C227A">
        <w:rPr>
          <w:szCs w:val="22"/>
        </w:rPr>
        <w:t>ie</w:t>
      </w:r>
      <w:proofErr w:type="spellEnd"/>
      <w:proofErr w:type="gramEnd"/>
      <w:r w:rsidRPr="007C227A">
        <w:rPr>
          <w:szCs w:val="22"/>
        </w:rPr>
        <w:t xml:space="preserve"> actual </w:t>
      </w:r>
      <w:r>
        <w:rPr>
          <w:szCs w:val="22"/>
        </w:rPr>
        <w:t>knowledge/</w:t>
      </w:r>
      <w:r w:rsidRPr="007C227A">
        <w:rPr>
          <w:szCs w:val="22"/>
        </w:rPr>
        <w:t>obvious</w:t>
      </w:r>
      <w:r>
        <w:rPr>
          <w:szCs w:val="22"/>
        </w:rPr>
        <w:t xml:space="preserve"> on a reasonably careful inspection of the servient tenement</w:t>
      </w:r>
      <w:r w:rsidRPr="007C227A">
        <w:rPr>
          <w:szCs w:val="22"/>
        </w:rPr>
        <w:t xml:space="preserve">/ use in the last year) had to be satisfied before an easement can be overriding. The inclusion of leases also caused more problems than </w:t>
      </w:r>
      <w:r>
        <w:rPr>
          <w:szCs w:val="22"/>
        </w:rPr>
        <w:t>expected or intended</w:t>
      </w:r>
      <w:r w:rsidRPr="007C227A">
        <w:rPr>
          <w:szCs w:val="22"/>
        </w:rPr>
        <w:t>.</w:t>
      </w:r>
    </w:p>
    <w:p w14:paraId="7737D1AD" w14:textId="77777777" w:rsidR="002610D3" w:rsidRPr="007C227A" w:rsidRDefault="002610D3" w:rsidP="002610D3">
      <w:pPr>
        <w:rPr>
          <w:szCs w:val="22"/>
        </w:rPr>
      </w:pPr>
      <w:r w:rsidRPr="007C227A">
        <w:rPr>
          <w:szCs w:val="22"/>
        </w:rPr>
        <w:t xml:space="preserve">Question 11: This was a popular question and candidates were generally confident in setting out and applying the main elements of a proprietary estoppel claim, and comparing the facts to relevant case-law, such as </w:t>
      </w:r>
      <w:r w:rsidRPr="007C227A">
        <w:rPr>
          <w:i/>
          <w:szCs w:val="22"/>
        </w:rPr>
        <w:t xml:space="preserve">Crabb </w:t>
      </w:r>
      <w:r w:rsidRPr="007C227A">
        <w:rPr>
          <w:szCs w:val="22"/>
        </w:rPr>
        <w:t xml:space="preserve">and </w:t>
      </w:r>
      <w:r w:rsidRPr="007C227A">
        <w:rPr>
          <w:i/>
          <w:szCs w:val="22"/>
        </w:rPr>
        <w:t>Cobbe</w:t>
      </w:r>
      <w:r w:rsidRPr="007C227A">
        <w:rPr>
          <w:szCs w:val="22"/>
        </w:rPr>
        <w:t>. There were also some strong analyses of the different approaches that a court might take to determining the extent of a possible right arising through proprietary estoppel. Some otherwise very good answers were marred by wholly overlooking the priority aspect of the question in relation to M.</w:t>
      </w:r>
    </w:p>
    <w:p w14:paraId="690CB111" w14:textId="3C6B8CD7" w:rsidR="005243CD" w:rsidRPr="005243CD" w:rsidRDefault="005243CD" w:rsidP="005243CD">
      <w:pPr>
        <w:rPr>
          <w:rFonts w:cs="Arial"/>
        </w:rPr>
      </w:pPr>
      <w:r w:rsidRPr="005243CD">
        <w:rPr>
          <w:b/>
          <w:bCs/>
        </w:rPr>
        <w:t>MEDIA LAW</w:t>
      </w:r>
      <w:r>
        <w:rPr>
          <w:b/>
          <w:bCs/>
        </w:rPr>
        <w:br/>
      </w:r>
      <w:r>
        <w:rPr>
          <w:b/>
          <w:bCs/>
        </w:rPr>
        <w:br/>
      </w:r>
      <w:r w:rsidRPr="005243CD">
        <w:rPr>
          <w:rFonts w:cs="Arial"/>
        </w:rPr>
        <w:t xml:space="preserve">In the 2019-20 academic year, 24 students took Media Law. 6 candidates gained first class marks, 17 gained upper </w:t>
      </w:r>
      <w:proofErr w:type="gramStart"/>
      <w:r w:rsidRPr="005243CD">
        <w:rPr>
          <w:rFonts w:cs="Arial"/>
        </w:rPr>
        <w:t>second class</w:t>
      </w:r>
      <w:proofErr w:type="gramEnd"/>
      <w:r w:rsidRPr="005243CD">
        <w:rPr>
          <w:rFonts w:cs="Arial"/>
        </w:rPr>
        <w:t xml:space="preserve"> marks, and 1 gained a lower second class mark. </w:t>
      </w:r>
    </w:p>
    <w:p w14:paraId="4F28DBC5" w14:textId="507FF2F6" w:rsidR="005243CD" w:rsidRPr="005243CD" w:rsidRDefault="005243CD" w:rsidP="005243CD">
      <w:pPr>
        <w:rPr>
          <w:rFonts w:cs="Arial"/>
        </w:rPr>
      </w:pPr>
      <w:r w:rsidRPr="005243CD">
        <w:rPr>
          <w:rFonts w:cs="Arial"/>
        </w:rPr>
        <w:t xml:space="preserve">The scripts were mostly of a very high quality, with candidates demonstrating a very good knowledge of the materials, the </w:t>
      </w:r>
      <w:proofErr w:type="gramStart"/>
      <w:r w:rsidRPr="005243CD">
        <w:rPr>
          <w:rFonts w:cs="Arial"/>
        </w:rPr>
        <w:t>literature</w:t>
      </w:r>
      <w:proofErr w:type="gramEnd"/>
      <w:r w:rsidRPr="005243CD">
        <w:rPr>
          <w:rFonts w:cs="Arial"/>
        </w:rPr>
        <w:t xml:space="preserve"> and debates. </w:t>
      </w:r>
    </w:p>
    <w:p w14:paraId="6D83FE5D" w14:textId="77777777" w:rsidR="005243CD" w:rsidRPr="005243CD" w:rsidRDefault="005243CD" w:rsidP="005243CD">
      <w:pPr>
        <w:rPr>
          <w:rFonts w:cs="Arial"/>
        </w:rPr>
      </w:pPr>
      <w:r w:rsidRPr="005243CD">
        <w:rPr>
          <w:rFonts w:cs="Arial"/>
        </w:rPr>
        <w:t xml:space="preserve">On question 1, candidates critiqued the public figure doctrine in privacy law. Many drew on the Hughes article and discussed case law such as </w:t>
      </w:r>
      <w:r w:rsidRPr="005243CD">
        <w:rPr>
          <w:rFonts w:cs="Arial"/>
          <w:i/>
          <w:iCs/>
        </w:rPr>
        <w:t>Ferdinand</w:t>
      </w:r>
      <w:r w:rsidRPr="005243CD">
        <w:rPr>
          <w:rFonts w:cs="Arial"/>
        </w:rPr>
        <w:t xml:space="preserve">, </w:t>
      </w:r>
      <w:proofErr w:type="spellStart"/>
      <w:r w:rsidRPr="005243CD">
        <w:rPr>
          <w:rFonts w:cs="Arial"/>
          <w:i/>
          <w:iCs/>
        </w:rPr>
        <w:t>Trimingham</w:t>
      </w:r>
      <w:proofErr w:type="spellEnd"/>
      <w:r w:rsidRPr="005243CD">
        <w:rPr>
          <w:rFonts w:cs="Arial"/>
        </w:rPr>
        <w:t xml:space="preserve"> and </w:t>
      </w:r>
      <w:r w:rsidRPr="005243CD">
        <w:rPr>
          <w:rFonts w:cs="Arial"/>
          <w:i/>
          <w:iCs/>
        </w:rPr>
        <w:t>Campbell</w:t>
      </w:r>
      <w:r w:rsidRPr="005243CD">
        <w:rPr>
          <w:rFonts w:cs="Arial"/>
        </w:rPr>
        <w:t xml:space="preserve">. </w:t>
      </w:r>
    </w:p>
    <w:p w14:paraId="619B9F51" w14:textId="77777777" w:rsidR="005243CD" w:rsidRPr="005243CD" w:rsidRDefault="005243CD" w:rsidP="005243CD">
      <w:pPr>
        <w:rPr>
          <w:rFonts w:cs="Arial"/>
        </w:rPr>
      </w:pPr>
      <w:r w:rsidRPr="005243CD">
        <w:rPr>
          <w:rFonts w:cs="Arial"/>
        </w:rPr>
        <w:t xml:space="preserve">On question 2, </w:t>
      </w:r>
      <w:proofErr w:type="gramStart"/>
      <w:r w:rsidRPr="005243CD">
        <w:rPr>
          <w:rFonts w:cs="Arial"/>
        </w:rPr>
        <w:t>the vast majority of</w:t>
      </w:r>
      <w:proofErr w:type="gramEnd"/>
      <w:r w:rsidRPr="005243CD">
        <w:rPr>
          <w:rFonts w:cs="Arial"/>
        </w:rPr>
        <w:t xml:space="preserve"> students focused on the serious harm requirement. That is understandable as that has received the most attention in the caselaw and literature. A smaller number considered the single publication rule under s.8. Some also tried to incorporate discussion of the public interest defence, though such discussion strayed from the question. </w:t>
      </w:r>
    </w:p>
    <w:p w14:paraId="511244F6" w14:textId="77777777" w:rsidR="005243CD" w:rsidRPr="005243CD" w:rsidRDefault="005243CD" w:rsidP="005243CD">
      <w:pPr>
        <w:rPr>
          <w:rFonts w:cs="Arial"/>
        </w:rPr>
      </w:pPr>
      <w:r w:rsidRPr="005243CD">
        <w:rPr>
          <w:rFonts w:cs="Arial"/>
        </w:rPr>
        <w:t xml:space="preserve">In discussing duties and responsibilities as a condition for media freedom in question 3, most candidates were familiar with the public interest defence in the Defamation Act 2013. Most scripts also connected the issue with the rationale for media freedom. To get higher marks, candidates drew on other areas of media law that require the fulfilment of certain responsibilities. </w:t>
      </w:r>
    </w:p>
    <w:p w14:paraId="3DA2D8E0" w14:textId="77777777" w:rsidR="005243CD" w:rsidRPr="005243CD" w:rsidRDefault="005243CD" w:rsidP="005243CD">
      <w:pPr>
        <w:rPr>
          <w:rFonts w:cs="Arial"/>
        </w:rPr>
      </w:pPr>
      <w:r w:rsidRPr="005243CD">
        <w:rPr>
          <w:rFonts w:cs="Arial"/>
        </w:rPr>
        <w:t xml:space="preserve">The question on source protection raised a difficult issue about the rationale for source protection. Most candidates explained the protection in terms of the public interest. The best scripts also considered which rationale could best explain the protection of sources in relation to surveillance powers, and whether a journalist should be permitted to waive any protection. </w:t>
      </w:r>
    </w:p>
    <w:p w14:paraId="2219A9D5" w14:textId="77777777" w:rsidR="005243CD" w:rsidRPr="005243CD" w:rsidRDefault="005243CD" w:rsidP="005243CD">
      <w:pPr>
        <w:rPr>
          <w:rFonts w:cs="Arial"/>
        </w:rPr>
      </w:pPr>
      <w:r w:rsidRPr="005243CD">
        <w:rPr>
          <w:rFonts w:cs="Arial"/>
        </w:rPr>
        <w:lastRenderedPageBreak/>
        <w:t xml:space="preserve">Question 5a on open justice was generally well answered, looking at anonymity orders and restrictions in specific areas. Stronger scripts engaged with the question more closely, with some welcoming a wider range of restrictions and arguing that open justice is over-protected. Others argued against restrictions and called for greater transparency (including televising of some court hearings). </w:t>
      </w:r>
    </w:p>
    <w:p w14:paraId="69F26C85" w14:textId="77777777" w:rsidR="005243CD" w:rsidRPr="005243CD" w:rsidRDefault="005243CD" w:rsidP="005243CD">
      <w:pPr>
        <w:rPr>
          <w:rFonts w:cs="Arial"/>
        </w:rPr>
      </w:pPr>
      <w:r w:rsidRPr="005243CD">
        <w:rPr>
          <w:rFonts w:cs="Arial"/>
        </w:rPr>
        <w:t>On 5b, the candidates answering this question explained the progression of the Article 10 case law and the ambiguities in any right of access.</w:t>
      </w:r>
    </w:p>
    <w:p w14:paraId="14339C60" w14:textId="77777777" w:rsidR="005243CD" w:rsidRPr="005243CD" w:rsidRDefault="005243CD" w:rsidP="005243CD">
      <w:pPr>
        <w:rPr>
          <w:rFonts w:cs="Arial"/>
        </w:rPr>
      </w:pPr>
      <w:r w:rsidRPr="005243CD">
        <w:rPr>
          <w:rFonts w:cs="Arial"/>
        </w:rPr>
        <w:t xml:space="preserve">On question 6, about digital platforms, a number of candidates focused solely on the debates about the online </w:t>
      </w:r>
      <w:proofErr w:type="gramStart"/>
      <w:r w:rsidRPr="005243CD">
        <w:rPr>
          <w:rFonts w:cs="Arial"/>
        </w:rPr>
        <w:t>harms</w:t>
      </w:r>
      <w:proofErr w:type="gramEnd"/>
      <w:r w:rsidRPr="005243CD">
        <w:rPr>
          <w:rFonts w:cs="Arial"/>
        </w:rPr>
        <w:t xml:space="preserve"> regulation proposals. However, the question had a slightly different focus, asking about the rationale for holding platforms responsible for content. Stronger scripts also considered the established case law on when a platform can be held legally responsible (for example in defamation law). </w:t>
      </w:r>
    </w:p>
    <w:p w14:paraId="53570ED5" w14:textId="77777777" w:rsidR="005243CD" w:rsidRPr="005243CD" w:rsidRDefault="005243CD" w:rsidP="005243CD">
      <w:pPr>
        <w:rPr>
          <w:rFonts w:cs="Arial"/>
        </w:rPr>
      </w:pPr>
      <w:r w:rsidRPr="005243CD">
        <w:rPr>
          <w:rFonts w:cs="Arial"/>
        </w:rPr>
        <w:t xml:space="preserve">Question 7a was a broad question on the future of broadcast regulations. </w:t>
      </w:r>
      <w:proofErr w:type="gramStart"/>
      <w:r w:rsidRPr="005243CD">
        <w:rPr>
          <w:rFonts w:cs="Arial"/>
        </w:rPr>
        <w:t>A number of</w:t>
      </w:r>
      <w:proofErr w:type="gramEnd"/>
      <w:r w:rsidRPr="005243CD">
        <w:rPr>
          <w:rFonts w:cs="Arial"/>
        </w:rPr>
        <w:t xml:space="preserve"> good answers looked at the changes to the audio-visual sector and some also considered the case for continuing (or changing) the impartiality rules.</w:t>
      </w:r>
    </w:p>
    <w:p w14:paraId="4857AD38" w14:textId="77777777" w:rsidR="005243CD" w:rsidRPr="005243CD" w:rsidRDefault="005243CD" w:rsidP="005243CD">
      <w:pPr>
        <w:rPr>
          <w:rFonts w:cs="Arial"/>
        </w:rPr>
      </w:pPr>
      <w:r w:rsidRPr="005243CD">
        <w:rPr>
          <w:rFonts w:cs="Arial"/>
        </w:rPr>
        <w:t xml:space="preserve">Question 7b invited candidates to discuss the incentives for joining a recognised press regulator. Most candidates were familiar with the debates surrounding s.40. </w:t>
      </w:r>
    </w:p>
    <w:p w14:paraId="34D6E901" w14:textId="77777777" w:rsidR="005243CD" w:rsidRPr="005243CD" w:rsidRDefault="005243CD" w:rsidP="005243CD">
      <w:pPr>
        <w:rPr>
          <w:rFonts w:cs="Arial"/>
        </w:rPr>
      </w:pPr>
      <w:r w:rsidRPr="005243CD">
        <w:rPr>
          <w:rFonts w:cs="Arial"/>
        </w:rPr>
        <w:t xml:space="preserve">While most candidates considered the case for a public interest defence in question 8, many of the stronger scripts also considered the proposed changes to the damage requirement and </w:t>
      </w:r>
      <w:proofErr w:type="spellStart"/>
      <w:r w:rsidRPr="005243CD">
        <w:rPr>
          <w:rFonts w:cs="Arial"/>
        </w:rPr>
        <w:t>mens</w:t>
      </w:r>
      <w:proofErr w:type="spellEnd"/>
      <w:r w:rsidRPr="005243CD">
        <w:rPr>
          <w:rFonts w:cs="Arial"/>
        </w:rPr>
        <w:t xml:space="preserve"> rea for offences under the Official Secrets Act 1989.</w:t>
      </w:r>
    </w:p>
    <w:p w14:paraId="59141EA2" w14:textId="77777777" w:rsidR="005243CD" w:rsidRPr="005243CD" w:rsidRDefault="005243CD" w:rsidP="005243CD">
      <w:pPr>
        <w:rPr>
          <w:rFonts w:cs="Arial"/>
        </w:rPr>
      </w:pPr>
      <w:r w:rsidRPr="005243CD">
        <w:rPr>
          <w:rFonts w:cs="Arial"/>
        </w:rPr>
        <w:t xml:space="preserve">The answers to question 9 were very good, with most candidates exploring the difficulties with obscenity law, and the challenges in finding a workable alternative to the current law. </w:t>
      </w:r>
    </w:p>
    <w:p w14:paraId="284CBADA" w14:textId="0506EED9" w:rsidR="005243CD" w:rsidRDefault="005243CD" w:rsidP="005243CD">
      <w:pPr>
        <w:rPr>
          <w:rFonts w:cs="Arial"/>
        </w:rPr>
      </w:pPr>
    </w:p>
    <w:p w14:paraId="10F0E308" w14:textId="77777777" w:rsidR="005243CD" w:rsidRDefault="005243CD" w:rsidP="005243CD">
      <w:r w:rsidRPr="005243CD">
        <w:rPr>
          <w:rFonts w:cs="Arial"/>
          <w:b/>
          <w:bCs/>
        </w:rPr>
        <w:t>MEDICAL LAW AND ETHICS</w:t>
      </w:r>
      <w:r>
        <w:rPr>
          <w:rFonts w:cs="Arial"/>
          <w:b/>
          <w:bCs/>
        </w:rPr>
        <w:br/>
      </w:r>
      <w:r>
        <w:rPr>
          <w:rFonts w:cs="Arial"/>
          <w:b/>
          <w:bCs/>
        </w:rPr>
        <w:br/>
      </w:r>
      <w:r>
        <w:t xml:space="preserve">As in previous years, despite repeated warnings not to do so, some students still offered generic essays on topics from the course, bookended by an introduction and conclusion that purported to show how the essay answered the very specific question asked. Students were very clearly urged not to do this, and hence those who chose to do so were penalised accordingly. Given that students have a considerable amount of time to think about what they have been asked, there is no excuse for failing to answer the question asked, either, yet this was also prevalent. Only those who directly answered the precise question asked were awarded first class marks. Many students also failed to clearly outline the topics they were drawing on, or </w:t>
      </w:r>
      <w:proofErr w:type="gramStart"/>
      <w:r>
        <w:t>actually draw</w:t>
      </w:r>
      <w:proofErr w:type="gramEnd"/>
      <w:r>
        <w:t xml:space="preserve"> on them in any detailed way to answer the questions. Some chose to make up acronyms, but the examiners ask that this is refrained from in the future. Numerous candidates also included text in the footnotes, despite having been repeatedly told that such text would not be read. It was not read.</w:t>
      </w:r>
    </w:p>
    <w:p w14:paraId="2E5E4843" w14:textId="78593209" w:rsidR="005243CD" w:rsidRPr="005243CD" w:rsidRDefault="005243CD" w:rsidP="005243CD">
      <w:r>
        <w:lastRenderedPageBreak/>
        <w:t xml:space="preserve">That said, there was a marked improvement in the approach to the ‘two topics’ aspect of questions on the part of many candidates. Some did a very good job of using various parts of the course to make broader points in relation to the questions asked, and they were suitably rewarded. A few candidates produced genuinely outstanding treatments of the questions by taking this approach. These essays stood out because they drew carefully on the substantive law and literature, while weaker candidates were a bit </w:t>
      </w:r>
      <w:proofErr w:type="gramStart"/>
      <w:r>
        <w:t>more broad</w:t>
      </w:r>
      <w:proofErr w:type="gramEnd"/>
      <w:r>
        <w:t xml:space="preserve"> brush and their work was weaker as a result. The very best candidates showed a highly detailed knowledge, and use, of the material, which they drew on to support their own well-considered responses. </w:t>
      </w:r>
    </w:p>
    <w:p w14:paraId="7AECA3B9" w14:textId="4D9461FD" w:rsidR="002C08FC" w:rsidRPr="002C08FC" w:rsidRDefault="002C08FC" w:rsidP="002C08FC">
      <w:pPr>
        <w:rPr>
          <w:b/>
          <w:bCs/>
        </w:rPr>
      </w:pPr>
      <w:r w:rsidRPr="002C08FC">
        <w:rPr>
          <w:b/>
          <w:bCs/>
        </w:rPr>
        <w:t>MORAL AND POLITICAL PHILOSOPHY</w:t>
      </w:r>
    </w:p>
    <w:p w14:paraId="6351E8EA" w14:textId="77777777" w:rsidR="002C08FC" w:rsidRDefault="002C08FC" w:rsidP="002C08FC">
      <w:r>
        <w:t xml:space="preserve">About 1/3 of this year’s examinations were of high quality, with the last four or so trailing significantly from the top seven papers and one truly outstanding paper. </w:t>
      </w:r>
      <w:proofErr w:type="gramStart"/>
      <w:r>
        <w:t>All of</w:t>
      </w:r>
      <w:proofErr w:type="gramEnd"/>
      <w:r>
        <w:t xml:space="preserve"> the stronger answers had a clear structure, good arguments, and clear writing. The very best had an original argumentative stance that was substantiated with good arguments and strong objections and replies as well as familiarity with the relevant literature. Many 2.1-class essays had competent recitation of material but lacked any argumentative verve. </w:t>
      </w:r>
    </w:p>
    <w:p w14:paraId="2780571F" w14:textId="77777777" w:rsidR="002C08FC" w:rsidRDefault="002C08FC" w:rsidP="002C08FC">
      <w:r>
        <w:t>As usual, the paper was divided into Part A (moral philosophy, 8 questions) and Part B (political philosophy, 4 questions). Candidates had to answer at least one question from each part. The distribution of answers was as follows:</w:t>
      </w:r>
    </w:p>
    <w:p w14:paraId="019B0B45" w14:textId="77777777" w:rsidR="002C08FC" w:rsidRDefault="002C08FC" w:rsidP="002C08FC">
      <w:r>
        <w:t>Part A:</w:t>
      </w:r>
    </w:p>
    <w:p w14:paraId="340C02BA" w14:textId="77777777" w:rsidR="002C08FC" w:rsidRDefault="002C08FC" w:rsidP="002C08FC">
      <w:r>
        <w:t>Q1 - 4</w:t>
      </w:r>
    </w:p>
    <w:p w14:paraId="4BD156F0" w14:textId="77777777" w:rsidR="002C08FC" w:rsidRPr="00C51633" w:rsidRDefault="002C08FC" w:rsidP="002C08FC">
      <w:pPr>
        <w:rPr>
          <w:lang w:val="fr-FR"/>
        </w:rPr>
      </w:pPr>
      <w:r w:rsidRPr="00C51633">
        <w:rPr>
          <w:lang w:val="fr-FR"/>
        </w:rPr>
        <w:t>Q2 - 12</w:t>
      </w:r>
    </w:p>
    <w:p w14:paraId="39011176" w14:textId="77777777" w:rsidR="002C08FC" w:rsidRPr="00C51633" w:rsidRDefault="002C08FC" w:rsidP="002C08FC">
      <w:pPr>
        <w:rPr>
          <w:lang w:val="fr-FR"/>
        </w:rPr>
      </w:pPr>
      <w:r w:rsidRPr="00C51633">
        <w:rPr>
          <w:lang w:val="fr-FR"/>
        </w:rPr>
        <w:t>Q3 - 2</w:t>
      </w:r>
    </w:p>
    <w:p w14:paraId="7907BCF9" w14:textId="77777777" w:rsidR="002C08FC" w:rsidRPr="00C51633" w:rsidRDefault="002C08FC" w:rsidP="002C08FC">
      <w:pPr>
        <w:rPr>
          <w:lang w:val="fr-FR"/>
        </w:rPr>
      </w:pPr>
      <w:r w:rsidRPr="00C51633">
        <w:rPr>
          <w:lang w:val="fr-FR"/>
        </w:rPr>
        <w:t>Q4 - 11</w:t>
      </w:r>
    </w:p>
    <w:p w14:paraId="38E985E2" w14:textId="77777777" w:rsidR="002C08FC" w:rsidRPr="00C51633" w:rsidRDefault="002C08FC" w:rsidP="002C08FC">
      <w:pPr>
        <w:rPr>
          <w:lang w:val="fr-FR"/>
        </w:rPr>
      </w:pPr>
      <w:r w:rsidRPr="00C51633">
        <w:rPr>
          <w:lang w:val="fr-FR"/>
        </w:rPr>
        <w:t xml:space="preserve">Q5 - </w:t>
      </w:r>
      <w:r>
        <w:rPr>
          <w:lang w:val="fr-FR"/>
        </w:rPr>
        <w:t>3</w:t>
      </w:r>
    </w:p>
    <w:p w14:paraId="71C1F874" w14:textId="77777777" w:rsidR="002C08FC" w:rsidRPr="00C51633" w:rsidRDefault="002C08FC" w:rsidP="002C08FC">
      <w:pPr>
        <w:rPr>
          <w:lang w:val="fr-FR"/>
        </w:rPr>
      </w:pPr>
      <w:r w:rsidRPr="00C51633">
        <w:rPr>
          <w:lang w:val="fr-FR"/>
        </w:rPr>
        <w:t>Q6 – 8</w:t>
      </w:r>
    </w:p>
    <w:p w14:paraId="396573AD" w14:textId="77777777" w:rsidR="002C08FC" w:rsidRPr="008362D1" w:rsidRDefault="002C08FC" w:rsidP="002C08FC">
      <w:pPr>
        <w:rPr>
          <w:lang w:val="fr-FR"/>
        </w:rPr>
      </w:pPr>
      <w:r w:rsidRPr="008362D1">
        <w:rPr>
          <w:lang w:val="fr-FR"/>
        </w:rPr>
        <w:t>Q7 – 6</w:t>
      </w:r>
    </w:p>
    <w:p w14:paraId="04137F4E" w14:textId="77777777" w:rsidR="002C08FC" w:rsidRPr="008362D1" w:rsidRDefault="002C08FC" w:rsidP="002C08FC">
      <w:pPr>
        <w:rPr>
          <w:lang w:val="fr-FR"/>
        </w:rPr>
      </w:pPr>
      <w:r w:rsidRPr="008362D1">
        <w:rPr>
          <w:lang w:val="fr-FR"/>
        </w:rPr>
        <w:t>Q8 – 8</w:t>
      </w:r>
    </w:p>
    <w:p w14:paraId="7B078370" w14:textId="77777777" w:rsidR="002C08FC" w:rsidRPr="008362D1" w:rsidRDefault="002C08FC" w:rsidP="002C08FC">
      <w:pPr>
        <w:rPr>
          <w:lang w:val="fr-FR"/>
        </w:rPr>
      </w:pPr>
      <w:r w:rsidRPr="008362D1">
        <w:rPr>
          <w:lang w:val="fr-FR"/>
        </w:rPr>
        <w:lastRenderedPageBreak/>
        <w:t xml:space="preserve">Part </w:t>
      </w:r>
      <w:proofErr w:type="gramStart"/>
      <w:r w:rsidRPr="008362D1">
        <w:rPr>
          <w:lang w:val="fr-FR"/>
        </w:rPr>
        <w:t>B:</w:t>
      </w:r>
      <w:proofErr w:type="gramEnd"/>
    </w:p>
    <w:p w14:paraId="6A4A510D" w14:textId="77777777" w:rsidR="002C08FC" w:rsidRPr="008362D1" w:rsidRDefault="002C08FC" w:rsidP="002C08FC">
      <w:pPr>
        <w:rPr>
          <w:lang w:val="fr-FR"/>
        </w:rPr>
      </w:pPr>
      <w:r w:rsidRPr="008362D1">
        <w:rPr>
          <w:lang w:val="fr-FR"/>
        </w:rPr>
        <w:t xml:space="preserve">Q9 – </w:t>
      </w:r>
      <w:r>
        <w:rPr>
          <w:lang w:val="fr-FR"/>
        </w:rPr>
        <w:t>9</w:t>
      </w:r>
    </w:p>
    <w:p w14:paraId="4014592F" w14:textId="77777777" w:rsidR="002C08FC" w:rsidRPr="00D92B04" w:rsidRDefault="002C08FC" w:rsidP="002C08FC">
      <w:r w:rsidRPr="00D92B04">
        <w:t>Q10 – 15</w:t>
      </w:r>
    </w:p>
    <w:p w14:paraId="67AE2468" w14:textId="77777777" w:rsidR="002C08FC" w:rsidRPr="00D92B04" w:rsidRDefault="002C08FC" w:rsidP="002C08FC">
      <w:r w:rsidRPr="00D92B04">
        <w:t>Q11 – 6</w:t>
      </w:r>
    </w:p>
    <w:p w14:paraId="1EB79CCC" w14:textId="77777777" w:rsidR="002C08FC" w:rsidRPr="00D92B04" w:rsidRDefault="002C08FC" w:rsidP="002C08FC">
      <w:r w:rsidRPr="00D92B04">
        <w:t>Q12 – 1</w:t>
      </w:r>
      <w:r>
        <w:t>7</w:t>
      </w:r>
    </w:p>
    <w:p w14:paraId="7B2342F9" w14:textId="77777777" w:rsidR="002C08FC" w:rsidRDefault="002C08FC" w:rsidP="002C08FC">
      <w:r>
        <w:t>Every question had some takers. T</w:t>
      </w:r>
      <w:r w:rsidRPr="008362D1">
        <w:t>here was a decent spread of answers</w:t>
      </w:r>
      <w:r>
        <w:t xml:space="preserve">, with clustering around the moral luck, law and freedom, and equality/priority and well-being questions. Twenty-one students answered two questions from Part A </w:t>
      </w:r>
      <w:proofErr w:type="spellStart"/>
      <w:r>
        <w:t>andthirteenstudents</w:t>
      </w:r>
      <w:proofErr w:type="spellEnd"/>
      <w:r>
        <w:t xml:space="preserve"> answered two questions from Part B. </w:t>
      </w:r>
    </w:p>
    <w:p w14:paraId="6896687D" w14:textId="77777777" w:rsidR="002C08FC" w:rsidRDefault="002C08FC" w:rsidP="002C08FC">
      <w:r>
        <w:t xml:space="preserve">The less popular questions were those that arguably required greater reflection and thought beyond material covered in tutorials. Q3, about whether ethics provides a reason to be moral, had few takers. Q5, about whether moral conflicts are always rationally resolvable, is a central question in moral philosophy and yet only three candidates chose to tackle it. It is worth noting that the strongest paper (which received the prize) answered this question. One way for a candidate to stand out is to write a stunningly good answer to a question </w:t>
      </w:r>
      <w:proofErr w:type="gramStart"/>
      <w:r>
        <w:t>less-travelled</w:t>
      </w:r>
      <w:proofErr w:type="gramEnd"/>
      <w:r>
        <w:t xml:space="preserve">. </w:t>
      </w:r>
    </w:p>
    <w:p w14:paraId="678746AB" w14:textId="77777777" w:rsidR="002C08FC" w:rsidRDefault="002C08FC" w:rsidP="002C08FC">
      <w:r>
        <w:t xml:space="preserve">One general problem with some of the less strong essays was that they appeared to be a patchwork of stitched-together pre-written modules rather thana carefully laid out arguments tailored to the question at hand. In addition, several essays did not directly address the question but instead </w:t>
      </w:r>
      <w:proofErr w:type="spellStart"/>
      <w:r>
        <w:t>recitedrote</w:t>
      </w:r>
      <w:proofErr w:type="spellEnd"/>
      <w:r>
        <w:t xml:space="preserve"> material that was only tangentially relevant. Weaker answers to Q2, for instance, reported and discussed Nagel’s four kinds of moral luck without diving deeply into the arguments for or against thinking that the one driver was blameworthy while the other was not. </w:t>
      </w:r>
    </w:p>
    <w:p w14:paraId="6837405A" w14:textId="5A21FCCF" w:rsidR="00131FDC" w:rsidRDefault="002C08FC" w:rsidP="002C08FC">
      <w:pPr>
        <w:spacing w:after="0"/>
      </w:pPr>
      <w:r>
        <w:t xml:space="preserve">There was also some tendency to ‘pull apart’ the parts of a question, which is often a reasonable way to proceed but not at the cost of failing to understand the </w:t>
      </w:r>
      <w:proofErr w:type="gramStart"/>
      <w:r>
        <w:t>question as a whole</w:t>
      </w:r>
      <w:proofErr w:type="gramEnd"/>
      <w:r>
        <w:t xml:space="preserve">. Weaker answers to Q8, for example, answered two distinct questions: </w:t>
      </w:r>
      <w:proofErr w:type="spellStart"/>
      <w:r>
        <w:t>i</w:t>
      </w:r>
      <w:proofErr w:type="spellEnd"/>
      <w:r>
        <w:t xml:space="preserve">) Is determinism is incompatible with free will? and ii) Is determinism not incompatible with moral responsibility? without connecting </w:t>
      </w:r>
      <w:proofErr w:type="spellStart"/>
      <w:r>
        <w:t>theseanswers</w:t>
      </w:r>
      <w:proofErr w:type="spellEnd"/>
      <w:r>
        <w:t xml:space="preserve"> in ways that would illuminate a coherent relation among free will, determinism, and responsibility. Some candidates who answered Q6 did not seem to understand the question and instead offered a slate of standard objections to </w:t>
      </w:r>
      <w:proofErr w:type="spellStart"/>
      <w:r>
        <w:t>Millian</w:t>
      </w:r>
      <w:proofErr w:type="spellEnd"/>
      <w:r>
        <w:t xml:space="preserve"> utilitarianism. Q11 provided candidates a platform for speaking in their own voice while drawing on material from the course, but some answers veered towards a superficial shooting-from-the-hip rather than making sophisticated, scholarly arguments. Some of the answers to Q9, about whether it is unjust to distribute wealth and income according to natural talents, were unfocussed and meandering. The best answers to Q12 took a clear argumentative stance and argued in support of it instead of simply running through the different views of </w:t>
      </w:r>
      <w:proofErr w:type="spellStart"/>
      <w:r>
        <w:t>sufficientarianism</w:t>
      </w:r>
      <w:proofErr w:type="spellEnd"/>
      <w:r>
        <w:t xml:space="preserve">, telic egalitarianism, </w:t>
      </w:r>
      <w:proofErr w:type="spellStart"/>
      <w:r>
        <w:t>prioritarianism</w:t>
      </w:r>
      <w:proofErr w:type="spellEnd"/>
      <w:r>
        <w:t xml:space="preserve">, and deontic egalitarianism. Overall, there was a clear demarcation between strong and weak firsts, on the one hand, and upper seconds, on the other. Lower seconds suffered from </w:t>
      </w:r>
      <w:r>
        <w:lastRenderedPageBreak/>
        <w:t>some serious defect, such as not answering the question posed or failing to show sufficient argumentative sophistication or grasp of the relevant literature.</w:t>
      </w:r>
    </w:p>
    <w:p w14:paraId="64EC6903" w14:textId="5C8593CC" w:rsidR="002C08FC" w:rsidRDefault="002C08FC" w:rsidP="002C08FC">
      <w:pPr>
        <w:spacing w:after="0"/>
      </w:pPr>
    </w:p>
    <w:p w14:paraId="1C353A4B" w14:textId="77777777" w:rsidR="00DD0ED1" w:rsidRDefault="00DD0ED1" w:rsidP="007B6461">
      <w:pPr>
        <w:rPr>
          <w:b/>
        </w:rPr>
      </w:pPr>
    </w:p>
    <w:p w14:paraId="17A51179" w14:textId="129FEC34" w:rsidR="007B6461" w:rsidRDefault="007B6461" w:rsidP="007B6461">
      <w:pPr>
        <w:rPr>
          <w:rFonts w:ascii="Calibri" w:hAnsi="Calibri"/>
          <w:b/>
          <w:szCs w:val="22"/>
        </w:rPr>
      </w:pPr>
      <w:r>
        <w:rPr>
          <w:b/>
        </w:rPr>
        <w:t>PERSONAL PROPERTY</w:t>
      </w:r>
    </w:p>
    <w:p w14:paraId="329C0F3F" w14:textId="77777777" w:rsidR="007B6461" w:rsidRDefault="007B6461" w:rsidP="007B6461">
      <w:r>
        <w:t>The overall performance of students in this paper was very good.  Of the 15 who sat it, eight were awarded firsts, with seven 2:1s.  The paper contained eight essay and two problem questions, with students being free to answer any four questions.   Although every question was tackled, question 7 (sale of goods) had only two takers.  The most popular questions were question 1 (protection) and question 4 (bona fide purchase).  Given the small number of candidates, it is difficult to say anything in general about student performance, save that the best candidates drew on their knowledge of Land Law and Trusts to make good comparisons with the law of Personal Property.</w:t>
      </w:r>
    </w:p>
    <w:p w14:paraId="06E5582E" w14:textId="5FFD8C0C" w:rsidR="005243CD" w:rsidRPr="005243CD" w:rsidRDefault="00C83091" w:rsidP="005243CD">
      <w:pPr>
        <w:pStyle w:val="NormalWeb"/>
        <w:rPr>
          <w:rFonts w:ascii="Arial" w:hAnsi="Arial" w:cs="Arial"/>
        </w:rPr>
      </w:pPr>
      <w:r w:rsidRPr="005243CD">
        <w:rPr>
          <w:rFonts w:ascii="Arial" w:hAnsi="Arial" w:cs="Arial"/>
          <w:b/>
          <w:bCs/>
        </w:rPr>
        <w:t>PUBLIC INTERNATIONAL LAW</w:t>
      </w:r>
      <w:r w:rsidRPr="005243CD">
        <w:rPr>
          <w:rFonts w:ascii="Arial" w:hAnsi="Arial" w:cs="Arial"/>
          <w:b/>
          <w:bCs/>
        </w:rPr>
        <w:br/>
      </w:r>
      <w:r>
        <w:rPr>
          <w:b/>
          <w:bCs/>
        </w:rPr>
        <w:br/>
      </w:r>
      <w:r w:rsidR="005243CD" w:rsidRPr="005243CD">
        <w:rPr>
          <w:rFonts w:ascii="Arial" w:hAnsi="Arial" w:cs="Arial"/>
        </w:rPr>
        <w:t xml:space="preserve">The overall performance by students in this paper was excellent, with over 80% of students being marked at an Upper </w:t>
      </w:r>
      <w:proofErr w:type="gramStart"/>
      <w:r w:rsidR="005243CD" w:rsidRPr="005243CD">
        <w:rPr>
          <w:rFonts w:ascii="Arial" w:hAnsi="Arial" w:cs="Arial"/>
        </w:rPr>
        <w:t>Second or First Class</w:t>
      </w:r>
      <w:proofErr w:type="gramEnd"/>
      <w:r w:rsidR="005243CD" w:rsidRPr="005243CD">
        <w:rPr>
          <w:rFonts w:ascii="Arial" w:hAnsi="Arial" w:cs="Arial"/>
        </w:rPr>
        <w:t xml:space="preserve"> level (there were 11 firsts), and the rest of the candidates being marked at a Lower Second mark. In general, the scripts reflected a high degree of conceptual clarity and understanding. Even the weaker scripts reflected understanding of core concepts, with the weaknesses deriving less from conceptual fuzziness than from limited engagement with the specific issues raised by the question, lack of structure and flow to the argument, and scanty use of case law and academic authority.</w:t>
      </w:r>
      <w:r w:rsidR="005243CD" w:rsidRPr="005243CD">
        <w:rPr>
          <w:rFonts w:ascii="Arial" w:hAnsi="Arial" w:cs="Arial"/>
        </w:rPr>
        <w:br/>
      </w:r>
    </w:p>
    <w:p w14:paraId="277493EF" w14:textId="77777777" w:rsidR="005243CD" w:rsidRPr="005243CD" w:rsidRDefault="005243CD" w:rsidP="005243CD">
      <w:pPr>
        <w:pStyle w:val="NormalWeb"/>
        <w:jc w:val="both"/>
        <w:rPr>
          <w:rFonts w:ascii="Arial" w:hAnsi="Arial" w:cs="Arial"/>
        </w:rPr>
      </w:pPr>
      <w:r w:rsidRPr="005243CD">
        <w:rPr>
          <w:rFonts w:ascii="Arial" w:hAnsi="Arial" w:cs="Arial"/>
        </w:rPr>
        <w:t xml:space="preserve">As in previous years, the paper contained a mixture of problem questions (4) and essay questions (5). Although not required to do so, all 36 candidates who sat the exam elected to answer at least one problem question, many chose two, with selections focussing on the use of force (question 5, 28 chose this), statehood and recognition (question 8, 13 chose this), state responsibility (question 6, 12 chose this) and dispute settlement (question 7, 11 chose this). </w:t>
      </w:r>
    </w:p>
    <w:p w14:paraId="3E5C0CA5" w14:textId="77777777" w:rsidR="005243CD" w:rsidRPr="005243CD" w:rsidRDefault="005243CD" w:rsidP="005243CD">
      <w:pPr>
        <w:pStyle w:val="NormalWeb"/>
        <w:jc w:val="both"/>
        <w:rPr>
          <w:rFonts w:ascii="Arial" w:hAnsi="Arial" w:cs="Arial"/>
        </w:rPr>
      </w:pPr>
      <w:r w:rsidRPr="005243CD">
        <w:rPr>
          <w:rFonts w:ascii="Arial" w:hAnsi="Arial" w:cs="Arial"/>
        </w:rPr>
        <w:t xml:space="preserve">The use of force problem question, as in previous years, proved the most popular, and elicited some excellent answers from the candidates, with the best among them drawing on a range of state practice, and exploring the fine distinctions between anticipatory and pre-emptive </w:t>
      </w:r>
      <w:proofErr w:type="spellStart"/>
      <w:r w:rsidRPr="005243CD">
        <w:rPr>
          <w:rFonts w:ascii="Arial" w:hAnsi="Arial" w:cs="Arial"/>
        </w:rPr>
        <w:t>self defence</w:t>
      </w:r>
      <w:proofErr w:type="spellEnd"/>
      <w:r w:rsidRPr="005243CD">
        <w:rPr>
          <w:rFonts w:ascii="Arial" w:hAnsi="Arial" w:cs="Arial"/>
        </w:rPr>
        <w:t xml:space="preserve">. Also popular were the essay questions on treaties (question 3, 20 chose this), the enforcement of international law (question 1, 20 chose this) and immunity (question 4, 15 chose this). Less popular were the questions on sources, (specifically the relationship between </w:t>
      </w:r>
      <w:proofErr w:type="spellStart"/>
      <w:r w:rsidRPr="005243CD">
        <w:rPr>
          <w:rFonts w:ascii="Arial" w:hAnsi="Arial" w:cs="Arial"/>
        </w:rPr>
        <w:t>erga</w:t>
      </w:r>
      <w:proofErr w:type="spellEnd"/>
      <w:r w:rsidRPr="005243CD">
        <w:rPr>
          <w:rFonts w:ascii="Arial" w:hAnsi="Arial" w:cs="Arial"/>
        </w:rPr>
        <w:t xml:space="preserve"> </w:t>
      </w:r>
      <w:proofErr w:type="spellStart"/>
      <w:r w:rsidRPr="005243CD">
        <w:rPr>
          <w:rFonts w:ascii="Arial" w:hAnsi="Arial" w:cs="Arial"/>
        </w:rPr>
        <w:t>omnes</w:t>
      </w:r>
      <w:proofErr w:type="spellEnd"/>
      <w:r w:rsidRPr="005243CD">
        <w:rPr>
          <w:rFonts w:ascii="Arial" w:hAnsi="Arial" w:cs="Arial"/>
        </w:rPr>
        <w:t xml:space="preserve"> and jus cogens norms, which only 6 chose) and specialized regimes of international law (international environmental law, law of the sea, or WTO law, which only 2 chose). As in previous years, the weaker answers were those that provided a general description of the topic or topics covered by the question without focussing on the specific issues raised. For example, weaker answers to the question on treaties provided a general description of the legal framework for treaty reservations, rather than engaging, as the question required them to do, with differing interpretations of ‘state consent’ reflected in differing positions on severance of impermissible reservations. The general question on enforcement of international </w:t>
      </w:r>
      <w:r w:rsidRPr="005243CD">
        <w:rPr>
          <w:rFonts w:ascii="Arial" w:hAnsi="Arial" w:cs="Arial"/>
        </w:rPr>
        <w:lastRenderedPageBreak/>
        <w:t xml:space="preserve">law drew some of the best as well as some of the weakest answers. The best answers presented a nuanced argument, weaving in theory and practice, supported by illustrations from specific areas in international law, and referencing current events. The weakest ones presented a rambling set of unconnected reflections on the nature of international law. More generally, the best answers to both essay and problem questions were those which made thoughtful use of case law and academic authority, thereby providing insightful analysis that demonstrably went beyond the basic textbook material. </w:t>
      </w:r>
    </w:p>
    <w:p w14:paraId="7966033C" w14:textId="59949700" w:rsidR="005243CD" w:rsidRDefault="005243CD" w:rsidP="00F324ED">
      <w:pPr>
        <w:rPr>
          <w:b/>
          <w:bCs/>
        </w:rPr>
      </w:pPr>
      <w:r>
        <w:rPr>
          <w:b/>
          <w:bCs/>
        </w:rPr>
        <w:br/>
        <w:t>ROMAN LAW (DELICT)</w:t>
      </w:r>
    </w:p>
    <w:tbl>
      <w:tblPr>
        <w:tblStyle w:val="TableGrid"/>
        <w:tblW w:w="0" w:type="auto"/>
        <w:tblLook w:val="04A0" w:firstRow="1" w:lastRow="0" w:firstColumn="1" w:lastColumn="0" w:noHBand="0" w:noVBand="1"/>
      </w:tblPr>
      <w:tblGrid>
        <w:gridCol w:w="2122"/>
        <w:gridCol w:w="6400"/>
      </w:tblGrid>
      <w:tr w:rsidR="005243CD" w14:paraId="30D7CA37" w14:textId="77777777" w:rsidTr="000629CF">
        <w:tc>
          <w:tcPr>
            <w:tcW w:w="2122" w:type="dxa"/>
            <w:tcBorders>
              <w:top w:val="single" w:sz="4" w:space="0" w:color="auto"/>
              <w:left w:val="single" w:sz="4" w:space="0" w:color="auto"/>
              <w:bottom w:val="single" w:sz="4" w:space="0" w:color="auto"/>
              <w:right w:val="single" w:sz="4" w:space="0" w:color="auto"/>
            </w:tcBorders>
            <w:hideMark/>
          </w:tcPr>
          <w:p w14:paraId="1F319852" w14:textId="77777777" w:rsidR="005243CD" w:rsidRDefault="005243CD" w:rsidP="000629CF">
            <w:pPr>
              <w:spacing w:after="0"/>
              <w:rPr>
                <w:rFonts w:eastAsia="PMingLiU" w:cs="Arial"/>
                <w:b/>
                <w:bCs/>
                <w:szCs w:val="22"/>
              </w:rPr>
            </w:pPr>
            <w:r>
              <w:rPr>
                <w:rFonts w:eastAsia="PMingLiU" w:cs="Arial"/>
                <w:i/>
                <w:sz w:val="18"/>
                <w:szCs w:val="22"/>
              </w:rPr>
              <w:br w:type="page"/>
            </w:r>
            <w:r>
              <w:rPr>
                <w:rFonts w:eastAsia="PMingLiU" w:cs="Arial"/>
                <w:b/>
                <w:bCs/>
                <w:szCs w:val="22"/>
              </w:rPr>
              <w:t>Name of Paper</w:t>
            </w:r>
          </w:p>
        </w:tc>
        <w:tc>
          <w:tcPr>
            <w:tcW w:w="6400" w:type="dxa"/>
            <w:tcBorders>
              <w:top w:val="single" w:sz="4" w:space="0" w:color="auto"/>
              <w:left w:val="single" w:sz="4" w:space="0" w:color="auto"/>
              <w:bottom w:val="single" w:sz="4" w:space="0" w:color="auto"/>
              <w:right w:val="single" w:sz="4" w:space="0" w:color="auto"/>
            </w:tcBorders>
          </w:tcPr>
          <w:p w14:paraId="4CAD5662" w14:textId="7EFC0B98" w:rsidR="005243CD" w:rsidRPr="005243CD" w:rsidRDefault="005243CD" w:rsidP="000629CF">
            <w:pPr>
              <w:spacing w:after="0"/>
              <w:rPr>
                <w:rFonts w:eastAsia="PMingLiU" w:cs="Arial"/>
                <w:b/>
                <w:bCs/>
                <w:color w:val="000000" w:themeColor="text1"/>
                <w:szCs w:val="22"/>
              </w:rPr>
            </w:pPr>
            <w:r w:rsidRPr="005243CD">
              <w:rPr>
                <w:rFonts w:eastAsia="PMingLiU" w:cs="Arial"/>
                <w:b/>
                <w:bCs/>
                <w:color w:val="000000" w:themeColor="text1"/>
                <w:szCs w:val="22"/>
              </w:rPr>
              <w:t xml:space="preserve">Roman Law </w:t>
            </w:r>
            <w:r>
              <w:rPr>
                <w:rFonts w:eastAsia="PMingLiU" w:cs="Arial"/>
                <w:b/>
                <w:bCs/>
                <w:color w:val="000000" w:themeColor="text1"/>
                <w:szCs w:val="22"/>
              </w:rPr>
              <w:t>(Delict)</w:t>
            </w:r>
          </w:p>
        </w:tc>
      </w:tr>
      <w:tr w:rsidR="005243CD" w14:paraId="065F0050" w14:textId="77777777" w:rsidTr="000629CF">
        <w:tc>
          <w:tcPr>
            <w:tcW w:w="2122" w:type="dxa"/>
            <w:tcBorders>
              <w:top w:val="single" w:sz="4" w:space="0" w:color="auto"/>
              <w:left w:val="single" w:sz="4" w:space="0" w:color="auto"/>
              <w:bottom w:val="single" w:sz="4" w:space="0" w:color="auto"/>
              <w:right w:val="single" w:sz="4" w:space="0" w:color="auto"/>
            </w:tcBorders>
            <w:hideMark/>
          </w:tcPr>
          <w:p w14:paraId="617566F0" w14:textId="77777777" w:rsidR="005243CD" w:rsidRDefault="005243CD" w:rsidP="000629CF">
            <w:pPr>
              <w:spacing w:after="0"/>
              <w:rPr>
                <w:rFonts w:eastAsia="PMingLiU" w:cs="Arial"/>
                <w:b/>
                <w:bCs/>
                <w:szCs w:val="22"/>
              </w:rPr>
            </w:pPr>
            <w:r>
              <w:rPr>
                <w:rFonts w:eastAsia="PMingLiU" w:cs="Arial"/>
                <w:b/>
                <w:bCs/>
                <w:szCs w:val="22"/>
              </w:rPr>
              <w:t>No. of students taking paper</w:t>
            </w:r>
          </w:p>
        </w:tc>
        <w:tc>
          <w:tcPr>
            <w:tcW w:w="6400" w:type="dxa"/>
            <w:tcBorders>
              <w:top w:val="single" w:sz="4" w:space="0" w:color="auto"/>
              <w:left w:val="single" w:sz="4" w:space="0" w:color="auto"/>
              <w:bottom w:val="single" w:sz="4" w:space="0" w:color="auto"/>
              <w:right w:val="single" w:sz="4" w:space="0" w:color="auto"/>
            </w:tcBorders>
          </w:tcPr>
          <w:p w14:paraId="6FFADF8C" w14:textId="77777777" w:rsidR="005243CD" w:rsidRDefault="005243CD" w:rsidP="000629CF">
            <w:pPr>
              <w:spacing w:after="0"/>
              <w:rPr>
                <w:rFonts w:eastAsia="PMingLiU" w:cs="Arial"/>
                <w:b/>
                <w:bCs/>
                <w:color w:val="0070C0"/>
                <w:szCs w:val="22"/>
              </w:rPr>
            </w:pPr>
            <w:r w:rsidRPr="005243CD">
              <w:rPr>
                <w:rFonts w:eastAsia="PMingLiU" w:cs="Arial"/>
                <w:b/>
                <w:bCs/>
                <w:color w:val="000000" w:themeColor="text1"/>
                <w:szCs w:val="22"/>
              </w:rPr>
              <w:t>16</w:t>
            </w:r>
          </w:p>
        </w:tc>
      </w:tr>
    </w:tbl>
    <w:p w14:paraId="059BB9AF" w14:textId="77777777" w:rsidR="005243CD" w:rsidRDefault="005243CD" w:rsidP="005243CD">
      <w:pPr>
        <w:widowControl w:val="0"/>
        <w:spacing w:after="160" w:line="256" w:lineRule="auto"/>
        <w:rPr>
          <w:rFonts w:eastAsia="Calibri" w:cs="Arial"/>
          <w:b/>
          <w:szCs w:val="22"/>
        </w:rPr>
      </w:pPr>
    </w:p>
    <w:p w14:paraId="422F2007" w14:textId="77777777" w:rsidR="005243CD" w:rsidRDefault="005243CD" w:rsidP="005243CD">
      <w:pPr>
        <w:spacing w:after="0" w:line="256" w:lineRule="auto"/>
        <w:rPr>
          <w:rFonts w:eastAsia="Calibri" w:cs="Arial"/>
          <w:szCs w:val="22"/>
        </w:rPr>
      </w:pPr>
    </w:p>
    <w:p w14:paraId="24EC81E3" w14:textId="77777777" w:rsidR="005243CD" w:rsidRDefault="005243CD" w:rsidP="005243CD">
      <w:pPr>
        <w:shd w:val="clear" w:color="auto" w:fill="FFFFFF"/>
        <w:spacing w:after="0" w:line="286" w:lineRule="atLeast"/>
        <w:jc w:val="both"/>
        <w:rPr>
          <w:rFonts w:eastAsia="Calibri" w:cs="Arial"/>
          <w:bCs/>
          <w:szCs w:val="22"/>
          <w:lang w:eastAsia="en-GB"/>
        </w:rPr>
      </w:pPr>
      <w:r>
        <w:rPr>
          <w:rFonts w:eastAsia="Calibri" w:cs="Arial"/>
          <w:b/>
          <w:bCs/>
          <w:szCs w:val="22"/>
          <w:lang w:eastAsia="en-GB"/>
        </w:rPr>
        <w:t>Marks distribution for [FHS Roman Law (Delict</w:t>
      </w:r>
      <w:proofErr w:type="gramStart"/>
      <w:r>
        <w:rPr>
          <w:rFonts w:eastAsia="Calibri" w:cs="Arial"/>
          <w:b/>
          <w:bCs/>
          <w:szCs w:val="22"/>
          <w:lang w:eastAsia="en-GB"/>
        </w:rPr>
        <w:t>)]*</w:t>
      </w:r>
      <w:proofErr w:type="gramEnd"/>
    </w:p>
    <w:p w14:paraId="203FB709" w14:textId="77777777" w:rsidR="005243CD" w:rsidRDefault="005243CD" w:rsidP="005243CD">
      <w:pPr>
        <w:shd w:val="clear" w:color="auto" w:fill="FFFFFF"/>
        <w:spacing w:after="0" w:line="286" w:lineRule="atLeast"/>
        <w:jc w:val="both"/>
        <w:rPr>
          <w:rFonts w:eastAsia="Calibri" w:cs="Arial"/>
          <w:bCs/>
          <w:szCs w:val="22"/>
          <w:lang w:eastAsia="en-GB"/>
        </w:rPr>
      </w:pPr>
    </w:p>
    <w:tbl>
      <w:tblPr>
        <w:tblStyle w:val="TableGrid"/>
        <w:tblW w:w="0" w:type="auto"/>
        <w:tblLook w:val="04A0" w:firstRow="1" w:lastRow="0" w:firstColumn="1" w:lastColumn="0" w:noHBand="0" w:noVBand="1"/>
      </w:tblPr>
      <w:tblGrid>
        <w:gridCol w:w="2943"/>
        <w:gridCol w:w="2977"/>
      </w:tblGrid>
      <w:tr w:rsidR="005243CD" w14:paraId="0F0CF892" w14:textId="77777777" w:rsidTr="000629CF">
        <w:tc>
          <w:tcPr>
            <w:tcW w:w="2943" w:type="dxa"/>
            <w:tcBorders>
              <w:top w:val="single" w:sz="4" w:space="0" w:color="auto"/>
              <w:left w:val="single" w:sz="4" w:space="0" w:color="auto"/>
              <w:bottom w:val="single" w:sz="4" w:space="0" w:color="auto"/>
              <w:right w:val="single" w:sz="4" w:space="0" w:color="auto"/>
            </w:tcBorders>
            <w:hideMark/>
          </w:tcPr>
          <w:p w14:paraId="475D9861" w14:textId="77777777" w:rsidR="005243CD" w:rsidRDefault="005243CD" w:rsidP="000629CF">
            <w:pPr>
              <w:spacing w:after="0" w:line="286" w:lineRule="atLeast"/>
              <w:jc w:val="both"/>
              <w:rPr>
                <w:rFonts w:eastAsia="PMingLiU" w:cs="Arial"/>
                <w:b/>
                <w:bCs/>
                <w:szCs w:val="22"/>
                <w:lang w:eastAsia="en-GB"/>
              </w:rPr>
            </w:pPr>
            <w:r>
              <w:rPr>
                <w:rFonts w:eastAsia="PMingLiU" w:cs="Arial"/>
                <w:b/>
                <w:bCs/>
                <w:szCs w:val="22"/>
                <w:lang w:eastAsia="en-GB"/>
              </w:rPr>
              <w:t>Category of Marks</w:t>
            </w:r>
          </w:p>
        </w:tc>
        <w:tc>
          <w:tcPr>
            <w:tcW w:w="2977" w:type="dxa"/>
            <w:tcBorders>
              <w:top w:val="single" w:sz="4" w:space="0" w:color="auto"/>
              <w:left w:val="single" w:sz="4" w:space="0" w:color="auto"/>
              <w:bottom w:val="single" w:sz="4" w:space="0" w:color="auto"/>
              <w:right w:val="single" w:sz="4" w:space="0" w:color="auto"/>
            </w:tcBorders>
            <w:hideMark/>
          </w:tcPr>
          <w:p w14:paraId="6CAB9F59" w14:textId="77777777" w:rsidR="005243CD" w:rsidRDefault="005243CD" w:rsidP="000629CF">
            <w:pPr>
              <w:spacing w:after="0" w:line="286" w:lineRule="atLeast"/>
              <w:jc w:val="both"/>
              <w:rPr>
                <w:rFonts w:eastAsia="PMingLiU" w:cs="Arial"/>
                <w:b/>
                <w:bCs/>
                <w:szCs w:val="22"/>
                <w:lang w:eastAsia="en-GB"/>
              </w:rPr>
            </w:pPr>
            <w:r>
              <w:rPr>
                <w:rFonts w:eastAsia="PMingLiU" w:cs="Arial"/>
                <w:b/>
                <w:bCs/>
                <w:szCs w:val="22"/>
                <w:lang w:eastAsia="en-GB"/>
              </w:rPr>
              <w:t>Frequency</w:t>
            </w:r>
          </w:p>
        </w:tc>
      </w:tr>
      <w:tr w:rsidR="005243CD" w14:paraId="1869541A" w14:textId="77777777" w:rsidTr="000629CF">
        <w:tc>
          <w:tcPr>
            <w:tcW w:w="2943" w:type="dxa"/>
            <w:tcBorders>
              <w:top w:val="single" w:sz="4" w:space="0" w:color="auto"/>
              <w:left w:val="single" w:sz="4" w:space="0" w:color="auto"/>
              <w:bottom w:val="single" w:sz="4" w:space="0" w:color="auto"/>
              <w:right w:val="single" w:sz="4" w:space="0" w:color="auto"/>
            </w:tcBorders>
            <w:hideMark/>
          </w:tcPr>
          <w:p w14:paraId="7FA8A76B"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&gt;70% (Distinction)</w:t>
            </w:r>
          </w:p>
        </w:tc>
        <w:tc>
          <w:tcPr>
            <w:tcW w:w="2977" w:type="dxa"/>
            <w:tcBorders>
              <w:top w:val="single" w:sz="4" w:space="0" w:color="auto"/>
              <w:left w:val="single" w:sz="4" w:space="0" w:color="auto"/>
              <w:bottom w:val="single" w:sz="4" w:space="0" w:color="auto"/>
              <w:right w:val="single" w:sz="4" w:space="0" w:color="auto"/>
            </w:tcBorders>
          </w:tcPr>
          <w:p w14:paraId="042B9E6C"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37.5%</w:t>
            </w:r>
          </w:p>
        </w:tc>
      </w:tr>
      <w:tr w:rsidR="005243CD" w14:paraId="7C5B75F9" w14:textId="77777777" w:rsidTr="000629CF">
        <w:tc>
          <w:tcPr>
            <w:tcW w:w="2943" w:type="dxa"/>
            <w:tcBorders>
              <w:top w:val="single" w:sz="4" w:space="0" w:color="auto"/>
              <w:left w:val="single" w:sz="4" w:space="0" w:color="auto"/>
              <w:bottom w:val="single" w:sz="4" w:space="0" w:color="auto"/>
              <w:right w:val="single" w:sz="4" w:space="0" w:color="auto"/>
            </w:tcBorders>
            <w:hideMark/>
          </w:tcPr>
          <w:p w14:paraId="1BCC2C22"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65 – 69% (Merit)</w:t>
            </w:r>
          </w:p>
        </w:tc>
        <w:tc>
          <w:tcPr>
            <w:tcW w:w="2977" w:type="dxa"/>
            <w:tcBorders>
              <w:top w:val="single" w:sz="4" w:space="0" w:color="auto"/>
              <w:left w:val="single" w:sz="4" w:space="0" w:color="auto"/>
              <w:bottom w:val="single" w:sz="4" w:space="0" w:color="auto"/>
              <w:right w:val="single" w:sz="4" w:space="0" w:color="auto"/>
            </w:tcBorders>
          </w:tcPr>
          <w:p w14:paraId="02C5E128"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37.5%</w:t>
            </w:r>
          </w:p>
        </w:tc>
      </w:tr>
      <w:tr w:rsidR="005243CD" w14:paraId="7F8191CA" w14:textId="77777777" w:rsidTr="000629CF">
        <w:tc>
          <w:tcPr>
            <w:tcW w:w="2943" w:type="dxa"/>
            <w:tcBorders>
              <w:top w:val="single" w:sz="4" w:space="0" w:color="auto"/>
              <w:left w:val="single" w:sz="4" w:space="0" w:color="auto"/>
              <w:bottom w:val="single" w:sz="4" w:space="0" w:color="auto"/>
              <w:right w:val="single" w:sz="4" w:space="0" w:color="auto"/>
            </w:tcBorders>
            <w:hideMark/>
          </w:tcPr>
          <w:p w14:paraId="5BC9C55F"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 xml:space="preserve">50 – 65% (Pass) </w:t>
            </w:r>
          </w:p>
        </w:tc>
        <w:tc>
          <w:tcPr>
            <w:tcW w:w="2977" w:type="dxa"/>
            <w:tcBorders>
              <w:top w:val="single" w:sz="4" w:space="0" w:color="auto"/>
              <w:left w:val="single" w:sz="4" w:space="0" w:color="auto"/>
              <w:bottom w:val="single" w:sz="4" w:space="0" w:color="auto"/>
              <w:right w:val="single" w:sz="4" w:space="0" w:color="auto"/>
            </w:tcBorders>
          </w:tcPr>
          <w:p w14:paraId="66A5BE47"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25%</w:t>
            </w:r>
          </w:p>
        </w:tc>
      </w:tr>
      <w:tr w:rsidR="005243CD" w14:paraId="086B73F6" w14:textId="77777777" w:rsidTr="000629CF">
        <w:tc>
          <w:tcPr>
            <w:tcW w:w="2943" w:type="dxa"/>
            <w:tcBorders>
              <w:top w:val="single" w:sz="4" w:space="0" w:color="auto"/>
              <w:left w:val="single" w:sz="4" w:space="0" w:color="auto"/>
              <w:bottom w:val="single" w:sz="4" w:space="0" w:color="auto"/>
              <w:right w:val="single" w:sz="4" w:space="0" w:color="auto"/>
            </w:tcBorders>
            <w:hideMark/>
          </w:tcPr>
          <w:p w14:paraId="28C2F715"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&lt;50 (Fail)</w:t>
            </w:r>
          </w:p>
        </w:tc>
        <w:tc>
          <w:tcPr>
            <w:tcW w:w="2977" w:type="dxa"/>
            <w:tcBorders>
              <w:top w:val="single" w:sz="4" w:space="0" w:color="auto"/>
              <w:left w:val="single" w:sz="4" w:space="0" w:color="auto"/>
              <w:bottom w:val="single" w:sz="4" w:space="0" w:color="auto"/>
              <w:right w:val="single" w:sz="4" w:space="0" w:color="auto"/>
            </w:tcBorders>
          </w:tcPr>
          <w:p w14:paraId="5A8DAE7A" w14:textId="77777777" w:rsidR="005243CD" w:rsidRDefault="005243CD" w:rsidP="000629CF">
            <w:pPr>
              <w:spacing w:after="0" w:line="286" w:lineRule="atLeast"/>
              <w:jc w:val="both"/>
              <w:rPr>
                <w:rFonts w:eastAsia="PMingLiU" w:cs="Arial"/>
                <w:bCs/>
                <w:szCs w:val="22"/>
                <w:lang w:eastAsia="en-GB"/>
              </w:rPr>
            </w:pPr>
          </w:p>
        </w:tc>
      </w:tr>
    </w:tbl>
    <w:p w14:paraId="1D4C5E97" w14:textId="77777777" w:rsidR="005243CD" w:rsidRDefault="005243CD" w:rsidP="005243CD">
      <w:pPr>
        <w:shd w:val="clear" w:color="auto" w:fill="FFFFFF"/>
        <w:spacing w:after="0" w:line="286" w:lineRule="atLeast"/>
        <w:jc w:val="both"/>
        <w:rPr>
          <w:rFonts w:eastAsia="Calibri" w:cs="Arial"/>
          <w:bCs/>
          <w:szCs w:val="22"/>
          <w:lang w:eastAsia="en-GB"/>
        </w:rPr>
      </w:pPr>
    </w:p>
    <w:p w14:paraId="15D57F81" w14:textId="77777777" w:rsidR="005243CD" w:rsidRDefault="005243CD" w:rsidP="005243CD">
      <w:pPr>
        <w:shd w:val="clear" w:color="auto" w:fill="FFFFFF"/>
        <w:spacing w:after="0" w:line="286" w:lineRule="atLeast"/>
        <w:jc w:val="both"/>
        <w:rPr>
          <w:rFonts w:eastAsia="Calibri" w:cs="Arial"/>
          <w:bCs/>
          <w:szCs w:val="22"/>
          <w:lang w:eastAsia="en-GB"/>
        </w:rPr>
      </w:pPr>
      <w:r>
        <w:rPr>
          <w:rFonts w:eastAsia="Calibri" w:cs="Arial"/>
          <w:bCs/>
          <w:szCs w:val="22"/>
          <w:lang w:eastAsia="en-GB"/>
        </w:rPr>
        <w:t>Mean: 67.56</w:t>
      </w:r>
    </w:p>
    <w:p w14:paraId="3A8937A1" w14:textId="77777777" w:rsidR="005243CD" w:rsidRDefault="005243CD" w:rsidP="005243CD">
      <w:pPr>
        <w:shd w:val="clear" w:color="auto" w:fill="FFFFFF"/>
        <w:spacing w:after="0" w:line="286" w:lineRule="atLeast"/>
        <w:jc w:val="both"/>
        <w:rPr>
          <w:rFonts w:eastAsia="Calibri" w:cs="Arial"/>
          <w:bCs/>
          <w:szCs w:val="22"/>
          <w:lang w:eastAsia="en-GB"/>
        </w:rPr>
      </w:pPr>
      <w:r>
        <w:rPr>
          <w:rFonts w:eastAsia="Calibri" w:cs="Arial"/>
          <w:bCs/>
          <w:szCs w:val="22"/>
          <w:lang w:eastAsia="en-GB"/>
        </w:rPr>
        <w:t>St. Dev:  2.99</w:t>
      </w:r>
    </w:p>
    <w:p w14:paraId="3D27E512" w14:textId="77777777" w:rsidR="005243CD" w:rsidRDefault="005243CD" w:rsidP="005243CD">
      <w:pPr>
        <w:shd w:val="clear" w:color="auto" w:fill="FFFFFF"/>
        <w:spacing w:after="0" w:line="286" w:lineRule="atLeast"/>
        <w:jc w:val="both"/>
        <w:rPr>
          <w:rFonts w:eastAsia="Calibri" w:cs="Arial"/>
          <w:bCs/>
          <w:szCs w:val="22"/>
          <w:lang w:eastAsia="en-GB"/>
        </w:rPr>
      </w:pPr>
    </w:p>
    <w:p w14:paraId="3E8BA540" w14:textId="77777777" w:rsidR="005243CD" w:rsidRDefault="005243CD" w:rsidP="005243CD">
      <w:pPr>
        <w:shd w:val="clear" w:color="auto" w:fill="FFFFFF"/>
        <w:spacing w:after="0" w:line="286" w:lineRule="atLeast"/>
        <w:jc w:val="both"/>
        <w:rPr>
          <w:rFonts w:eastAsia="Calibri" w:cs="Arial"/>
          <w:b/>
          <w:bCs/>
          <w:szCs w:val="22"/>
          <w:lang w:eastAsia="en-GB"/>
        </w:rPr>
      </w:pPr>
      <w:r>
        <w:rPr>
          <w:rFonts w:eastAsia="Calibri" w:cs="Arial"/>
          <w:b/>
          <w:bCs/>
          <w:szCs w:val="22"/>
          <w:lang w:eastAsia="en-GB"/>
        </w:rPr>
        <w:t>Distribution of answers for [FHS Roman Law (Delict</w:t>
      </w:r>
      <w:proofErr w:type="gramStart"/>
      <w:r>
        <w:rPr>
          <w:rFonts w:eastAsia="Calibri" w:cs="Arial"/>
          <w:b/>
          <w:bCs/>
          <w:szCs w:val="22"/>
          <w:lang w:eastAsia="en-GB"/>
        </w:rPr>
        <w:t>)]*</w:t>
      </w:r>
      <w:proofErr w:type="gramEnd"/>
      <w:r>
        <w:rPr>
          <w:rFonts w:eastAsia="Calibri" w:cs="Arial"/>
          <w:b/>
          <w:bCs/>
          <w:szCs w:val="22"/>
          <w:lang w:eastAsia="en-GB"/>
        </w:rPr>
        <w:t xml:space="preserve">: </w:t>
      </w:r>
    </w:p>
    <w:p w14:paraId="0E4F6D8E" w14:textId="77777777" w:rsidR="005243CD" w:rsidRDefault="005243CD" w:rsidP="005243CD">
      <w:pPr>
        <w:shd w:val="clear" w:color="auto" w:fill="FFFFFF"/>
        <w:spacing w:after="0" w:line="286" w:lineRule="atLeast"/>
        <w:jc w:val="both"/>
        <w:rPr>
          <w:rFonts w:eastAsia="Calibri" w:cs="Arial"/>
          <w:bCs/>
          <w:szCs w:val="22"/>
          <w:lang w:eastAsia="en-GB"/>
        </w:rPr>
      </w:pPr>
    </w:p>
    <w:tbl>
      <w:tblPr>
        <w:tblStyle w:val="TableGrid"/>
        <w:tblW w:w="0" w:type="auto"/>
        <w:tblLook w:val="04A0" w:firstRow="1" w:lastRow="0" w:firstColumn="1" w:lastColumn="0" w:noHBand="0" w:noVBand="1"/>
      </w:tblPr>
      <w:tblGrid>
        <w:gridCol w:w="4786"/>
        <w:gridCol w:w="2693"/>
      </w:tblGrid>
      <w:tr w:rsidR="005243CD" w14:paraId="07ED0D14" w14:textId="77777777" w:rsidTr="000629CF">
        <w:tc>
          <w:tcPr>
            <w:tcW w:w="4786" w:type="dxa"/>
            <w:tcBorders>
              <w:top w:val="single" w:sz="4" w:space="0" w:color="auto"/>
              <w:left w:val="single" w:sz="4" w:space="0" w:color="auto"/>
              <w:bottom w:val="single" w:sz="4" w:space="0" w:color="auto"/>
              <w:right w:val="single" w:sz="4" w:space="0" w:color="auto"/>
            </w:tcBorders>
            <w:hideMark/>
          </w:tcPr>
          <w:p w14:paraId="182AAA3E" w14:textId="77777777" w:rsidR="005243CD" w:rsidRDefault="005243CD" w:rsidP="000629CF">
            <w:pPr>
              <w:spacing w:after="0" w:line="286" w:lineRule="atLeast"/>
              <w:jc w:val="both"/>
              <w:rPr>
                <w:rFonts w:eastAsia="PMingLiU" w:cs="Arial"/>
                <w:b/>
                <w:bCs/>
                <w:szCs w:val="22"/>
                <w:lang w:eastAsia="en-GB"/>
              </w:rPr>
            </w:pPr>
            <w:r>
              <w:rPr>
                <w:rFonts w:eastAsia="PMingLiU" w:cs="Arial"/>
                <w:b/>
                <w:bCs/>
                <w:szCs w:val="22"/>
                <w:lang w:eastAsia="en-GB"/>
              </w:rPr>
              <w:t>Q. No</w:t>
            </w:r>
          </w:p>
        </w:tc>
        <w:tc>
          <w:tcPr>
            <w:tcW w:w="2693" w:type="dxa"/>
            <w:tcBorders>
              <w:top w:val="single" w:sz="4" w:space="0" w:color="auto"/>
              <w:left w:val="single" w:sz="4" w:space="0" w:color="auto"/>
              <w:bottom w:val="single" w:sz="4" w:space="0" w:color="auto"/>
              <w:right w:val="single" w:sz="4" w:space="0" w:color="auto"/>
            </w:tcBorders>
            <w:hideMark/>
          </w:tcPr>
          <w:p w14:paraId="37D1D534" w14:textId="77777777" w:rsidR="005243CD" w:rsidRDefault="005243CD" w:rsidP="000629CF">
            <w:pPr>
              <w:spacing w:after="0" w:line="286" w:lineRule="atLeast"/>
              <w:jc w:val="both"/>
              <w:rPr>
                <w:rFonts w:eastAsia="PMingLiU" w:cs="Arial"/>
                <w:b/>
                <w:bCs/>
                <w:szCs w:val="22"/>
                <w:lang w:eastAsia="en-GB"/>
              </w:rPr>
            </w:pPr>
            <w:r>
              <w:rPr>
                <w:rFonts w:eastAsia="PMingLiU" w:cs="Arial"/>
                <w:b/>
                <w:bCs/>
                <w:szCs w:val="22"/>
                <w:lang w:eastAsia="en-GB"/>
              </w:rPr>
              <w:t>No. of answers</w:t>
            </w:r>
          </w:p>
        </w:tc>
      </w:tr>
      <w:tr w:rsidR="005243CD" w14:paraId="6AA0241F" w14:textId="77777777" w:rsidTr="000629CF">
        <w:tc>
          <w:tcPr>
            <w:tcW w:w="4786" w:type="dxa"/>
            <w:tcBorders>
              <w:top w:val="single" w:sz="4" w:space="0" w:color="auto"/>
              <w:left w:val="single" w:sz="4" w:space="0" w:color="auto"/>
              <w:bottom w:val="single" w:sz="4" w:space="0" w:color="auto"/>
              <w:right w:val="single" w:sz="4" w:space="0" w:color="auto"/>
            </w:tcBorders>
            <w:hideMark/>
          </w:tcPr>
          <w:p w14:paraId="2C1B5BEF"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1</w:t>
            </w:r>
          </w:p>
        </w:tc>
        <w:tc>
          <w:tcPr>
            <w:tcW w:w="2693" w:type="dxa"/>
            <w:tcBorders>
              <w:top w:val="single" w:sz="4" w:space="0" w:color="auto"/>
              <w:left w:val="single" w:sz="4" w:space="0" w:color="auto"/>
              <w:bottom w:val="single" w:sz="4" w:space="0" w:color="auto"/>
              <w:right w:val="single" w:sz="4" w:space="0" w:color="auto"/>
            </w:tcBorders>
          </w:tcPr>
          <w:p w14:paraId="30A2A4FC"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10</w:t>
            </w:r>
          </w:p>
        </w:tc>
      </w:tr>
      <w:tr w:rsidR="005243CD" w14:paraId="22B916A5" w14:textId="77777777" w:rsidTr="000629CF">
        <w:tc>
          <w:tcPr>
            <w:tcW w:w="4786" w:type="dxa"/>
            <w:tcBorders>
              <w:top w:val="single" w:sz="4" w:space="0" w:color="auto"/>
              <w:left w:val="single" w:sz="4" w:space="0" w:color="auto"/>
              <w:bottom w:val="single" w:sz="4" w:space="0" w:color="auto"/>
              <w:right w:val="single" w:sz="4" w:space="0" w:color="auto"/>
            </w:tcBorders>
            <w:hideMark/>
          </w:tcPr>
          <w:p w14:paraId="1C96AB88"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2</w:t>
            </w:r>
          </w:p>
        </w:tc>
        <w:tc>
          <w:tcPr>
            <w:tcW w:w="2693" w:type="dxa"/>
            <w:tcBorders>
              <w:top w:val="single" w:sz="4" w:space="0" w:color="auto"/>
              <w:left w:val="single" w:sz="4" w:space="0" w:color="auto"/>
              <w:bottom w:val="single" w:sz="4" w:space="0" w:color="auto"/>
              <w:right w:val="single" w:sz="4" w:space="0" w:color="auto"/>
            </w:tcBorders>
          </w:tcPr>
          <w:p w14:paraId="5B3F33F5"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11</w:t>
            </w:r>
          </w:p>
        </w:tc>
      </w:tr>
      <w:tr w:rsidR="005243CD" w14:paraId="30AE6F93" w14:textId="77777777" w:rsidTr="000629CF">
        <w:tc>
          <w:tcPr>
            <w:tcW w:w="4786" w:type="dxa"/>
            <w:tcBorders>
              <w:top w:val="single" w:sz="4" w:space="0" w:color="auto"/>
              <w:left w:val="single" w:sz="4" w:space="0" w:color="auto"/>
              <w:bottom w:val="single" w:sz="4" w:space="0" w:color="auto"/>
              <w:right w:val="single" w:sz="4" w:space="0" w:color="auto"/>
            </w:tcBorders>
            <w:hideMark/>
          </w:tcPr>
          <w:p w14:paraId="31A68D36"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3</w:t>
            </w:r>
          </w:p>
        </w:tc>
        <w:tc>
          <w:tcPr>
            <w:tcW w:w="2693" w:type="dxa"/>
            <w:tcBorders>
              <w:top w:val="single" w:sz="4" w:space="0" w:color="auto"/>
              <w:left w:val="single" w:sz="4" w:space="0" w:color="auto"/>
              <w:bottom w:val="single" w:sz="4" w:space="0" w:color="auto"/>
              <w:right w:val="single" w:sz="4" w:space="0" w:color="auto"/>
            </w:tcBorders>
          </w:tcPr>
          <w:p w14:paraId="5D841F37"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14</w:t>
            </w:r>
          </w:p>
        </w:tc>
      </w:tr>
      <w:tr w:rsidR="005243CD" w14:paraId="4531D9DE" w14:textId="77777777" w:rsidTr="000629CF">
        <w:tc>
          <w:tcPr>
            <w:tcW w:w="4786" w:type="dxa"/>
            <w:hideMark/>
          </w:tcPr>
          <w:p w14:paraId="2EFB3824"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lastRenderedPageBreak/>
              <w:t>4</w:t>
            </w:r>
          </w:p>
        </w:tc>
        <w:tc>
          <w:tcPr>
            <w:tcW w:w="2693" w:type="dxa"/>
          </w:tcPr>
          <w:p w14:paraId="76A57978"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7</w:t>
            </w:r>
          </w:p>
        </w:tc>
      </w:tr>
      <w:tr w:rsidR="005243CD" w14:paraId="3978DB6E" w14:textId="77777777" w:rsidTr="000629CF">
        <w:tc>
          <w:tcPr>
            <w:tcW w:w="4786" w:type="dxa"/>
            <w:hideMark/>
          </w:tcPr>
          <w:p w14:paraId="247FFB6F"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5</w:t>
            </w:r>
          </w:p>
        </w:tc>
        <w:tc>
          <w:tcPr>
            <w:tcW w:w="2693" w:type="dxa"/>
          </w:tcPr>
          <w:p w14:paraId="5CDD865F"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7</w:t>
            </w:r>
          </w:p>
        </w:tc>
      </w:tr>
      <w:tr w:rsidR="005243CD" w14:paraId="54EDDFE2" w14:textId="77777777" w:rsidTr="000629CF">
        <w:tc>
          <w:tcPr>
            <w:tcW w:w="4786" w:type="dxa"/>
            <w:hideMark/>
          </w:tcPr>
          <w:p w14:paraId="6C86DA88"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6</w:t>
            </w:r>
          </w:p>
        </w:tc>
        <w:tc>
          <w:tcPr>
            <w:tcW w:w="2693" w:type="dxa"/>
          </w:tcPr>
          <w:p w14:paraId="0C7A8FDE"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3</w:t>
            </w:r>
          </w:p>
        </w:tc>
      </w:tr>
      <w:tr w:rsidR="005243CD" w14:paraId="3B2CD4D0" w14:textId="77777777" w:rsidTr="000629CF">
        <w:tc>
          <w:tcPr>
            <w:tcW w:w="4786" w:type="dxa"/>
            <w:hideMark/>
          </w:tcPr>
          <w:p w14:paraId="44B2CFB2"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7</w:t>
            </w:r>
          </w:p>
        </w:tc>
        <w:tc>
          <w:tcPr>
            <w:tcW w:w="2693" w:type="dxa"/>
          </w:tcPr>
          <w:p w14:paraId="1AD6BD67"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2</w:t>
            </w:r>
          </w:p>
        </w:tc>
      </w:tr>
      <w:tr w:rsidR="005243CD" w14:paraId="4F906734" w14:textId="77777777" w:rsidTr="000629CF">
        <w:tc>
          <w:tcPr>
            <w:tcW w:w="4786" w:type="dxa"/>
            <w:hideMark/>
          </w:tcPr>
          <w:p w14:paraId="41ECF279"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8</w:t>
            </w:r>
          </w:p>
        </w:tc>
        <w:tc>
          <w:tcPr>
            <w:tcW w:w="2693" w:type="dxa"/>
          </w:tcPr>
          <w:p w14:paraId="3A1EEDAA"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1</w:t>
            </w:r>
          </w:p>
        </w:tc>
      </w:tr>
      <w:tr w:rsidR="005243CD" w14:paraId="797B5410" w14:textId="77777777" w:rsidTr="000629CF">
        <w:tc>
          <w:tcPr>
            <w:tcW w:w="4786" w:type="dxa"/>
            <w:hideMark/>
          </w:tcPr>
          <w:p w14:paraId="71D40490"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9</w:t>
            </w:r>
          </w:p>
        </w:tc>
        <w:tc>
          <w:tcPr>
            <w:tcW w:w="2693" w:type="dxa"/>
          </w:tcPr>
          <w:p w14:paraId="6DBFFDDF"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4</w:t>
            </w:r>
          </w:p>
        </w:tc>
      </w:tr>
      <w:tr w:rsidR="005243CD" w14:paraId="74668207" w14:textId="77777777" w:rsidTr="000629CF">
        <w:tc>
          <w:tcPr>
            <w:tcW w:w="4786" w:type="dxa"/>
            <w:hideMark/>
          </w:tcPr>
          <w:p w14:paraId="0B54D3FD"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10</w:t>
            </w:r>
          </w:p>
        </w:tc>
        <w:tc>
          <w:tcPr>
            <w:tcW w:w="2693" w:type="dxa"/>
          </w:tcPr>
          <w:p w14:paraId="50555339" w14:textId="77777777" w:rsidR="005243CD" w:rsidRDefault="005243CD" w:rsidP="000629CF">
            <w:pPr>
              <w:spacing w:after="0" w:line="286" w:lineRule="atLeast"/>
              <w:jc w:val="both"/>
              <w:rPr>
                <w:rFonts w:eastAsia="PMingLiU" w:cs="Arial"/>
                <w:bCs/>
                <w:szCs w:val="22"/>
                <w:lang w:eastAsia="en-GB"/>
              </w:rPr>
            </w:pPr>
            <w:r>
              <w:rPr>
                <w:rFonts w:eastAsia="PMingLiU" w:cs="Arial"/>
                <w:bCs/>
                <w:szCs w:val="22"/>
                <w:lang w:eastAsia="en-GB"/>
              </w:rPr>
              <w:t>5</w:t>
            </w:r>
          </w:p>
        </w:tc>
      </w:tr>
    </w:tbl>
    <w:p w14:paraId="1B973BF5" w14:textId="77777777" w:rsidR="005243CD" w:rsidRDefault="005243CD" w:rsidP="005243CD">
      <w:pPr>
        <w:spacing w:after="200" w:line="276" w:lineRule="auto"/>
        <w:jc w:val="both"/>
        <w:rPr>
          <w:rFonts w:eastAsia="Calibri" w:cs="Arial"/>
          <w:b/>
          <w:i/>
          <w:szCs w:val="22"/>
        </w:rPr>
      </w:pPr>
    </w:p>
    <w:p w14:paraId="13E3F1C2" w14:textId="77777777" w:rsidR="005243CD" w:rsidRDefault="005243CD" w:rsidP="005243CD">
      <w:pPr>
        <w:spacing w:after="200" w:line="276" w:lineRule="auto"/>
        <w:jc w:val="both"/>
        <w:rPr>
          <w:rFonts w:eastAsia="Calibri" w:cs="Arial"/>
          <w:b/>
          <w:i/>
          <w:szCs w:val="22"/>
        </w:rPr>
      </w:pPr>
      <w:r>
        <w:rPr>
          <w:rFonts w:eastAsia="Calibri" w:cs="Arial"/>
          <w:b/>
          <w:i/>
          <w:szCs w:val="22"/>
        </w:rPr>
        <w:t>Comments on the examination of [</w:t>
      </w:r>
      <w:r w:rsidRPr="00430CE7">
        <w:rPr>
          <w:rFonts w:eastAsia="Calibri" w:cs="Arial"/>
          <w:b/>
          <w:i/>
          <w:szCs w:val="22"/>
        </w:rPr>
        <w:t>FHS Roman Law (Delict)</w:t>
      </w:r>
      <w:r>
        <w:rPr>
          <w:rFonts w:eastAsia="Calibri" w:cs="Arial"/>
          <w:b/>
          <w:i/>
          <w:szCs w:val="22"/>
        </w:rPr>
        <w:t xml:space="preserve">]: </w:t>
      </w:r>
    </w:p>
    <w:tbl>
      <w:tblPr>
        <w:tblStyle w:val="TableGrid"/>
        <w:tblW w:w="0" w:type="auto"/>
        <w:tblLook w:val="04A0" w:firstRow="1" w:lastRow="0" w:firstColumn="1" w:lastColumn="0" w:noHBand="0" w:noVBand="1"/>
      </w:tblPr>
      <w:tblGrid>
        <w:gridCol w:w="9016"/>
      </w:tblGrid>
      <w:tr w:rsidR="005243CD" w14:paraId="662D2205" w14:textId="77777777" w:rsidTr="000629CF">
        <w:tc>
          <w:tcPr>
            <w:tcW w:w="9016" w:type="dxa"/>
            <w:tcBorders>
              <w:top w:val="single" w:sz="4" w:space="0" w:color="auto"/>
              <w:left w:val="single" w:sz="4" w:space="0" w:color="auto"/>
              <w:bottom w:val="single" w:sz="4" w:space="0" w:color="auto"/>
              <w:right w:val="single" w:sz="4" w:space="0" w:color="auto"/>
            </w:tcBorders>
            <w:hideMark/>
          </w:tcPr>
          <w:p w14:paraId="2ABE6B75" w14:textId="77777777" w:rsidR="005243CD" w:rsidRDefault="005243CD" w:rsidP="000629CF">
            <w:pPr>
              <w:widowControl w:val="0"/>
              <w:spacing w:after="0"/>
              <w:rPr>
                <w:rFonts w:eastAsia="PMingLiU" w:cs="Arial"/>
                <w:szCs w:val="22"/>
              </w:rPr>
            </w:pPr>
            <w:r>
              <w:rPr>
                <w:rFonts w:eastAsia="PMingLiU" w:cs="Arial"/>
                <w:b/>
                <w:szCs w:val="22"/>
              </w:rPr>
              <w:t xml:space="preserve">General comments: </w:t>
            </w:r>
            <w:r>
              <w:rPr>
                <w:rFonts w:eastAsia="PMingLiU" w:cs="Arial"/>
                <w:szCs w:val="22"/>
              </w:rPr>
              <w:t>Please comment on the overall quality of the scripts, the distribution of marks and anything else worth noting and learning from (including suggested actions).</w:t>
            </w:r>
          </w:p>
        </w:tc>
      </w:tr>
      <w:tr w:rsidR="005243CD" w14:paraId="6DD92F22" w14:textId="77777777" w:rsidTr="000629CF">
        <w:tc>
          <w:tcPr>
            <w:tcW w:w="9016" w:type="dxa"/>
            <w:tcBorders>
              <w:top w:val="single" w:sz="4" w:space="0" w:color="auto"/>
              <w:left w:val="single" w:sz="4" w:space="0" w:color="auto"/>
              <w:bottom w:val="single" w:sz="4" w:space="0" w:color="auto"/>
              <w:right w:val="single" w:sz="4" w:space="0" w:color="auto"/>
            </w:tcBorders>
          </w:tcPr>
          <w:p w14:paraId="6C7F14B2" w14:textId="77777777" w:rsidR="005243CD" w:rsidRDefault="005243CD" w:rsidP="000629CF">
            <w:pPr>
              <w:spacing w:after="0"/>
              <w:rPr>
                <w:rFonts w:eastAsia="PMingLiU" w:cs="Arial"/>
                <w:szCs w:val="22"/>
              </w:rPr>
            </w:pPr>
            <w:r>
              <w:rPr>
                <w:rFonts w:eastAsia="PMingLiU" w:cs="Arial"/>
                <w:szCs w:val="22"/>
              </w:rPr>
              <w:t>The overall result was impressive.</w:t>
            </w:r>
          </w:p>
          <w:p w14:paraId="6249ECAB" w14:textId="77777777" w:rsidR="005243CD" w:rsidRDefault="005243CD" w:rsidP="000629CF">
            <w:pPr>
              <w:spacing w:after="0"/>
              <w:rPr>
                <w:rFonts w:eastAsia="PMingLiU" w:cs="Arial"/>
                <w:szCs w:val="22"/>
              </w:rPr>
            </w:pPr>
            <w:r>
              <w:rPr>
                <w:rFonts w:eastAsia="PMingLiU" w:cs="Arial"/>
                <w:szCs w:val="22"/>
              </w:rPr>
              <w:t xml:space="preserve">Candidates were asked to answer at least two of the four first questions, all requiring close textual analyses (‘gobbets’). These questions were chosen more often than necessary to meet this requirement. </w:t>
            </w:r>
          </w:p>
          <w:p w14:paraId="49094DA3" w14:textId="77777777" w:rsidR="005243CD" w:rsidRDefault="005243CD" w:rsidP="000629CF">
            <w:pPr>
              <w:spacing w:after="0"/>
              <w:rPr>
                <w:rFonts w:eastAsia="PMingLiU" w:cs="Arial"/>
                <w:szCs w:val="22"/>
              </w:rPr>
            </w:pPr>
            <w:r>
              <w:rPr>
                <w:rFonts w:eastAsia="PMingLiU" w:cs="Arial"/>
                <w:szCs w:val="22"/>
              </w:rPr>
              <w:t>Of the remaining questions two were least popular, one a quote concerning the delineation of praetor/</w:t>
            </w:r>
            <w:proofErr w:type="spellStart"/>
            <w:r>
              <w:rPr>
                <w:rFonts w:eastAsia="PMingLiU" w:cs="Arial"/>
                <w:szCs w:val="22"/>
              </w:rPr>
              <w:t>iudex</w:t>
            </w:r>
            <w:proofErr w:type="spellEnd"/>
            <w:r>
              <w:rPr>
                <w:rFonts w:eastAsia="PMingLiU" w:cs="Arial"/>
                <w:szCs w:val="22"/>
              </w:rPr>
              <w:t>- competence (Q6), the other a concise Roman law text concerning theft of a treasure (Q7). No specific cause can be identified why candidates were shy to tackle these Qs.</w:t>
            </w:r>
          </w:p>
          <w:p w14:paraId="04F4472D" w14:textId="77777777" w:rsidR="005243CD" w:rsidRDefault="005243CD" w:rsidP="000629CF">
            <w:pPr>
              <w:spacing w:after="0"/>
              <w:rPr>
                <w:rFonts w:eastAsia="PMingLiU" w:cs="Arial"/>
                <w:szCs w:val="22"/>
              </w:rPr>
            </w:pPr>
          </w:p>
          <w:p w14:paraId="2A5B3E79" w14:textId="77777777" w:rsidR="005243CD" w:rsidRDefault="005243CD" w:rsidP="000629CF">
            <w:pPr>
              <w:spacing w:after="0"/>
              <w:rPr>
                <w:rFonts w:eastAsia="PMingLiU" w:cs="Arial"/>
                <w:szCs w:val="22"/>
              </w:rPr>
            </w:pPr>
          </w:p>
          <w:p w14:paraId="0978797C" w14:textId="77777777" w:rsidR="005243CD" w:rsidRDefault="005243CD" w:rsidP="000629CF">
            <w:pPr>
              <w:spacing w:after="0"/>
              <w:rPr>
                <w:rFonts w:eastAsia="PMingLiU" w:cs="Arial"/>
                <w:szCs w:val="22"/>
              </w:rPr>
            </w:pPr>
          </w:p>
        </w:tc>
      </w:tr>
      <w:tr w:rsidR="005243CD" w14:paraId="47FC5E3A" w14:textId="77777777" w:rsidTr="000629CF">
        <w:tc>
          <w:tcPr>
            <w:tcW w:w="9016" w:type="dxa"/>
            <w:tcBorders>
              <w:top w:val="single" w:sz="4" w:space="0" w:color="auto"/>
              <w:left w:val="single" w:sz="4" w:space="0" w:color="auto"/>
              <w:bottom w:val="single" w:sz="4" w:space="0" w:color="auto"/>
              <w:right w:val="single" w:sz="4" w:space="0" w:color="auto"/>
            </w:tcBorders>
            <w:hideMark/>
          </w:tcPr>
          <w:p w14:paraId="3FF2282F" w14:textId="77777777" w:rsidR="005243CD" w:rsidRDefault="005243CD" w:rsidP="000629CF">
            <w:pPr>
              <w:widowControl w:val="0"/>
              <w:spacing w:after="0"/>
              <w:rPr>
                <w:rFonts w:eastAsia="PMingLiU" w:cs="Arial"/>
                <w:szCs w:val="22"/>
              </w:rPr>
            </w:pPr>
            <w:r>
              <w:rPr>
                <w:rFonts w:eastAsia="PMingLiU" w:cs="Arial"/>
                <w:b/>
                <w:szCs w:val="22"/>
              </w:rPr>
              <w:t xml:space="preserve">Comments on individual questions: </w:t>
            </w:r>
            <w:r>
              <w:rPr>
                <w:rFonts w:eastAsia="PMingLiU" w:cs="Arial"/>
                <w:szCs w:val="22"/>
              </w:rPr>
              <w:t>Please comment on the overall quality of answers, notable weaknesses in the answers (and/or question) and anything else worth reporting and learning from (including suggested actions).</w:t>
            </w:r>
          </w:p>
        </w:tc>
      </w:tr>
      <w:tr w:rsidR="005243CD" w14:paraId="3BEAC337" w14:textId="77777777" w:rsidTr="000629CF">
        <w:tc>
          <w:tcPr>
            <w:tcW w:w="9016" w:type="dxa"/>
            <w:tcBorders>
              <w:top w:val="single" w:sz="4" w:space="0" w:color="auto"/>
              <w:left w:val="single" w:sz="4" w:space="0" w:color="auto"/>
              <w:bottom w:val="single" w:sz="4" w:space="0" w:color="auto"/>
              <w:right w:val="single" w:sz="4" w:space="0" w:color="auto"/>
            </w:tcBorders>
          </w:tcPr>
          <w:p w14:paraId="37B7B807" w14:textId="77777777" w:rsidR="005243CD" w:rsidRDefault="005243CD" w:rsidP="000629CF">
            <w:pPr>
              <w:spacing w:after="0"/>
              <w:rPr>
                <w:rFonts w:eastAsia="PMingLiU" w:cs="Arial"/>
                <w:szCs w:val="22"/>
              </w:rPr>
            </w:pPr>
          </w:p>
          <w:p w14:paraId="1E1BC008" w14:textId="77777777" w:rsidR="005243CD" w:rsidRDefault="005243CD" w:rsidP="000629CF">
            <w:pPr>
              <w:spacing w:after="0"/>
              <w:rPr>
                <w:rFonts w:eastAsia="PMingLiU" w:cs="Arial"/>
                <w:szCs w:val="22"/>
              </w:rPr>
            </w:pPr>
          </w:p>
          <w:p w14:paraId="29A2C46E" w14:textId="77777777" w:rsidR="005243CD" w:rsidRDefault="005243CD" w:rsidP="000629CF">
            <w:pPr>
              <w:spacing w:after="0"/>
              <w:rPr>
                <w:rFonts w:eastAsia="PMingLiU" w:cs="Arial"/>
                <w:szCs w:val="22"/>
              </w:rPr>
            </w:pPr>
            <w:r>
              <w:rPr>
                <w:rFonts w:eastAsia="PMingLiU" w:cs="Arial"/>
                <w:szCs w:val="22"/>
              </w:rPr>
              <w:t>The quality of answers was evenly distributed across the range of questions.</w:t>
            </w:r>
          </w:p>
          <w:p w14:paraId="64567B69" w14:textId="77777777" w:rsidR="005243CD" w:rsidRDefault="005243CD" w:rsidP="000629CF">
            <w:pPr>
              <w:spacing w:after="0"/>
              <w:rPr>
                <w:rFonts w:eastAsia="PMingLiU" w:cs="Arial"/>
                <w:szCs w:val="22"/>
              </w:rPr>
            </w:pPr>
          </w:p>
          <w:p w14:paraId="64C967F9" w14:textId="77777777" w:rsidR="005243CD" w:rsidRDefault="005243CD" w:rsidP="000629CF">
            <w:pPr>
              <w:spacing w:after="0"/>
              <w:rPr>
                <w:rFonts w:eastAsia="PMingLiU" w:cs="Arial"/>
                <w:szCs w:val="22"/>
              </w:rPr>
            </w:pPr>
          </w:p>
          <w:p w14:paraId="1DA6ACD3" w14:textId="77777777" w:rsidR="005243CD" w:rsidRDefault="005243CD" w:rsidP="000629CF">
            <w:pPr>
              <w:spacing w:after="0"/>
              <w:rPr>
                <w:rFonts w:eastAsia="PMingLiU" w:cs="Arial"/>
                <w:szCs w:val="22"/>
              </w:rPr>
            </w:pPr>
          </w:p>
          <w:p w14:paraId="1E40EDAD" w14:textId="77777777" w:rsidR="005243CD" w:rsidRDefault="005243CD" w:rsidP="000629CF">
            <w:pPr>
              <w:spacing w:after="0"/>
              <w:rPr>
                <w:rFonts w:eastAsia="PMingLiU" w:cs="Arial"/>
                <w:szCs w:val="22"/>
              </w:rPr>
            </w:pPr>
          </w:p>
        </w:tc>
      </w:tr>
    </w:tbl>
    <w:p w14:paraId="3471B464" w14:textId="77777777" w:rsidR="005243CD" w:rsidRDefault="005243CD" w:rsidP="00F324ED">
      <w:pPr>
        <w:rPr>
          <w:b/>
          <w:bCs/>
        </w:rPr>
      </w:pPr>
    </w:p>
    <w:p w14:paraId="189DEFBF" w14:textId="410A19F3" w:rsidR="00F324ED" w:rsidRPr="00F324ED" w:rsidRDefault="00F324ED" w:rsidP="00F324ED">
      <w:pPr>
        <w:rPr>
          <w:rFonts w:ascii="Times New Roman" w:hAnsi="Times New Roman"/>
          <w:b/>
          <w:bCs/>
        </w:rPr>
      </w:pPr>
      <w:r w:rsidRPr="00F324ED">
        <w:rPr>
          <w:b/>
          <w:bCs/>
        </w:rPr>
        <w:t>TAXATION LAW</w:t>
      </w:r>
    </w:p>
    <w:p w14:paraId="5A601A7D" w14:textId="77777777" w:rsidR="00F324ED" w:rsidRDefault="00F324ED" w:rsidP="00F324ED">
      <w:r>
        <w:t xml:space="preserve">As in prior years there were 8 questions (6 essays and 2 problems) which gave considerable choice since the students all coverall of the core material in lectures, </w:t>
      </w:r>
      <w:proofErr w:type="gramStart"/>
      <w:r>
        <w:t>seminars</w:t>
      </w:r>
      <w:proofErr w:type="gramEnd"/>
      <w:r>
        <w:t xml:space="preserve"> and tutorials. Q.3 (essay question on tax </w:t>
      </w:r>
      <w:proofErr w:type="gramStart"/>
      <w:r>
        <w:t>avoidance)and</w:t>
      </w:r>
      <w:proofErr w:type="gramEnd"/>
      <w:r>
        <w:t xml:space="preserve"> Q.7 (problem on employment tax) were the most popular. Q.6 (two-part question on taxpayer intention) and Q.4 (essay on IR35 and the employment/self-employment determination) were less popular. Nearly </w:t>
      </w:r>
      <w:proofErr w:type="gramStart"/>
      <w:r>
        <w:t>all of</w:t>
      </w:r>
      <w:proofErr w:type="gramEnd"/>
      <w:r>
        <w:t xml:space="preserve"> the candidates attempted at least one of the problems—although not required to do so—and about one-half of candidates attempted both problems.</w:t>
      </w:r>
    </w:p>
    <w:p w14:paraId="77E04B0D" w14:textId="77777777" w:rsidR="00F324ED" w:rsidRDefault="00F324ED" w:rsidP="00F324ED">
      <w:r>
        <w:t xml:space="preserve">Q.1 on tax policy invited the candidates to consider whether tax policy makers should be concerned with inequality. The better answers delved into issues such as fairness and </w:t>
      </w:r>
      <w:proofErr w:type="spellStart"/>
      <w:proofErr w:type="gramStart"/>
      <w:r>
        <w:t>progressivity,weighed</w:t>
      </w:r>
      <w:proofErr w:type="spellEnd"/>
      <w:proofErr w:type="gramEnd"/>
      <w:r>
        <w:t xml:space="preserve"> up the advantages/</w:t>
      </w:r>
      <w:proofErr w:type="spellStart"/>
      <w:r>
        <w:t>disadvantagesof</w:t>
      </w:r>
      <w:proofErr w:type="spellEnd"/>
      <w:r>
        <w:t xml:space="preserve"> increasing progressivity, and engaged with the recent literature on inequality. Weaker answers failed to consider the meaning of inequality or whether it was necessarily bad tax design if some are doing </w:t>
      </w:r>
      <w:proofErr w:type="gramStart"/>
      <w:r>
        <w:t>really well</w:t>
      </w:r>
      <w:proofErr w:type="gramEnd"/>
      <w:r>
        <w:t xml:space="preserve"> at the top so long as those at the bottom are doing ok.Q.2 asked candidates to evaluate the effectiveness of the capital gains tax and inheritance tax regimes, which provided an opportunity to </w:t>
      </w:r>
      <w:proofErr w:type="spellStart"/>
      <w:r>
        <w:t>examinethe</w:t>
      </w:r>
      <w:proofErr w:type="spellEnd"/>
      <w:r>
        <w:t xml:space="preserve"> statutory provisions in some detail, consider the relationship between IHT and CGT, and draw on the academic literature.  Q.3concerned the cases on tax avoidance and the </w:t>
      </w:r>
      <w:proofErr w:type="spellStart"/>
      <w:r>
        <w:t>GAARand</w:t>
      </w:r>
      <w:proofErr w:type="spellEnd"/>
      <w:r>
        <w:t xml:space="preserve"> was answered quite well overall. Those students </w:t>
      </w:r>
      <w:proofErr w:type="spellStart"/>
      <w:r>
        <w:t>whofocused</w:t>
      </w:r>
      <w:proofErr w:type="spellEnd"/>
      <w:r>
        <w:t xml:space="preserve"> on the specific wording in the question’s quote from </w:t>
      </w:r>
      <w:r>
        <w:rPr>
          <w:i/>
          <w:iCs/>
        </w:rPr>
        <w:t>UBS/</w:t>
      </w:r>
      <w:proofErr w:type="spellStart"/>
      <w:r>
        <w:rPr>
          <w:i/>
          <w:iCs/>
        </w:rPr>
        <w:t>DB</w:t>
      </w:r>
      <w:r>
        <w:t>rather</w:t>
      </w:r>
      <w:proofErr w:type="spellEnd"/>
      <w:r>
        <w:t xml:space="preserve"> than writing generally about avoidance were duly rewarded. Q.4 concerned the different tax regimes applicable to employees and the self-employed with particular emphasis on the IR35 regime, which relies on the employment/self-employment classification body of case law. It required a good understanding of the case law tests as well </w:t>
      </w:r>
      <w:proofErr w:type="spellStart"/>
      <w:r>
        <w:t>asan</w:t>
      </w:r>
      <w:proofErr w:type="spellEnd"/>
      <w:r>
        <w:t xml:space="preserve"> appreciation for the topical nature of these issues as reflected </w:t>
      </w:r>
      <w:proofErr w:type="spellStart"/>
      <w:r>
        <w:t>inrecent</w:t>
      </w:r>
      <w:proofErr w:type="spellEnd"/>
      <w:r>
        <w:t xml:space="preserve"> legislative changes and also policy work by </w:t>
      </w:r>
      <w:proofErr w:type="spellStart"/>
      <w:proofErr w:type="gramStart"/>
      <w:r>
        <w:t>eg</w:t>
      </w:r>
      <w:proofErr w:type="spellEnd"/>
      <w:proofErr w:type="gramEnd"/>
      <w:r>
        <w:t xml:space="preserve"> the Taylor Review and the Office of Tax Simplification. Q.5 asked candidates to consider the role of neutrality in the design of the CGT and IHT regimes as they apply to trusts. Better answers demonstrated a high degree of comfort with the technical rules and the difficulties in applying neutrality in the context of trusts. Q.6was a relatively straightforward two-part question on </w:t>
      </w:r>
      <w:proofErr w:type="spellStart"/>
      <w:r>
        <w:t>therelevance</w:t>
      </w:r>
      <w:proofErr w:type="spellEnd"/>
      <w:r>
        <w:t xml:space="preserve"> of taxpayer intention in the cases on the meaning of ‘residence’ for private residence relief purposes and in the ‘badges of trade’ </w:t>
      </w:r>
      <w:proofErr w:type="spellStart"/>
      <w:proofErr w:type="gramStart"/>
      <w:r>
        <w:t>cases;better</w:t>
      </w:r>
      <w:proofErr w:type="spellEnd"/>
      <w:proofErr w:type="gramEnd"/>
      <w:r>
        <w:t xml:space="preserve"> answers considered a good range of cases and examined them in appropriate depth.</w:t>
      </w:r>
    </w:p>
    <w:p w14:paraId="53436000" w14:textId="77777777" w:rsidR="00F324ED" w:rsidRDefault="00F324ED" w:rsidP="00F324ED">
      <w:r>
        <w:t xml:space="preserve">The facts in Q.7 raised a broad spectrum of major and minor employment tax issues, particularly employee benefits but also deductions and whether the payment for image rights was ‘from’ employment. Q.8 raised a number of issues on the taxation of a self-employed </w:t>
      </w:r>
      <w:proofErr w:type="gramStart"/>
      <w:r>
        <w:t>person, and</w:t>
      </w:r>
      <w:proofErr w:type="gramEnd"/>
      <w:r>
        <w:t xml:space="preserve"> challenged candidates to think carefully about the interaction of the CGT and ITTOIA rules. Candidates for the most part spotted the correct issues, but the depth of analysis of those </w:t>
      </w:r>
      <w:proofErr w:type="spellStart"/>
      <w:r>
        <w:t>issueswas</w:t>
      </w:r>
      <w:proofErr w:type="spellEnd"/>
      <w:r>
        <w:t xml:space="preserve"> variable especially on the CGT implications of the sale of the antique cabinet </w:t>
      </w:r>
      <w:proofErr w:type="gramStart"/>
      <w:r>
        <w:t>and also</w:t>
      </w:r>
      <w:proofErr w:type="gramEnd"/>
      <w:r>
        <w:t xml:space="preserve"> the sale of the statute which, if the vendor was not a trader, raised a </w:t>
      </w:r>
      <w:proofErr w:type="spellStart"/>
      <w:r>
        <w:rPr>
          <w:i/>
          <w:iCs/>
        </w:rPr>
        <w:t>Marren</w:t>
      </w:r>
      <w:proofErr w:type="spellEnd"/>
      <w:r>
        <w:rPr>
          <w:i/>
          <w:iCs/>
        </w:rPr>
        <w:t xml:space="preserve"> v </w:t>
      </w:r>
      <w:proofErr w:type="spellStart"/>
      <w:r>
        <w:rPr>
          <w:i/>
          <w:iCs/>
        </w:rPr>
        <w:t>Ingles</w:t>
      </w:r>
      <w:r>
        <w:t>point</w:t>
      </w:r>
      <w:proofErr w:type="spellEnd"/>
      <w:r>
        <w:t>.</w:t>
      </w:r>
    </w:p>
    <w:p w14:paraId="4F54C9FE" w14:textId="77777777" w:rsidR="00347B5C" w:rsidRDefault="00347B5C" w:rsidP="00347B5C">
      <w:r w:rsidRPr="00D32309">
        <w:rPr>
          <w:b/>
          <w:bCs/>
        </w:rPr>
        <w:lastRenderedPageBreak/>
        <w:t>Tort</w:t>
      </w:r>
      <w:r>
        <w:rPr>
          <w:b/>
          <w:bCs/>
        </w:rPr>
        <w:t xml:space="preserve"> Examiner’s Report</w:t>
      </w:r>
    </w:p>
    <w:p w14:paraId="02D5F1BD" w14:textId="77777777" w:rsidR="00347B5C" w:rsidRDefault="00347B5C" w:rsidP="00347B5C">
      <w:r>
        <w:t>The paper generated some excellent overall performances and few that were very weak. The top answers were able to engage critically with the essay questions and offered an analysis including secondary literature and a pointed and focused approach which drew on the case law to offer detail and depth. Some attempts to shoe-horn pre-prepared/tutorial essays into answering essay questions were not so successful and were duly downgraded, but most managed to focus on the questions set and offer well organised and directed answers to each. The problem questions were generally also well handled by most in a clear and organised fashion, with candidates making good use of the completion of papers on a computer to present their answers in a structured way.</w:t>
      </w:r>
    </w:p>
    <w:p w14:paraId="64A798AE" w14:textId="77777777" w:rsidR="00347B5C" w:rsidRDefault="00347B5C" w:rsidP="00347B5C"/>
    <w:p w14:paraId="0C992DD3" w14:textId="77777777" w:rsidR="00347B5C" w:rsidRPr="00025BEA" w:rsidRDefault="00347B5C" w:rsidP="00347B5C">
      <w:pPr>
        <w:rPr>
          <w:b/>
          <w:bCs/>
        </w:rPr>
      </w:pPr>
      <w:r w:rsidRPr="00025BEA">
        <w:rPr>
          <w:b/>
          <w:bCs/>
        </w:rPr>
        <w:t>Question 1</w:t>
      </w:r>
    </w:p>
    <w:p w14:paraId="6B7F9D44" w14:textId="77777777" w:rsidR="00347B5C" w:rsidRDefault="00347B5C" w:rsidP="00347B5C">
      <w:r>
        <w:t xml:space="preserve">This was a popular essay question, and received some strong, critical analysis from many candidates, able to look at a range of cases where the assumption of responsibility concept has been used in different ways and at different stages, reflecting upon its coherence, </w:t>
      </w:r>
      <w:proofErr w:type="gramStart"/>
      <w:r>
        <w:t>consistency</w:t>
      </w:r>
      <w:proofErr w:type="gramEnd"/>
      <w:r>
        <w:t xml:space="preserve"> and usefulness in explaining the outcomes and offering a framework that can be applied in future. Weaker answers tried to copy and paste from practice essays (etc) without focusing upon the thrust of the </w:t>
      </w:r>
      <w:proofErr w:type="gramStart"/>
      <w:r>
        <w:t>particular quotation</w:t>
      </w:r>
      <w:proofErr w:type="gramEnd"/>
      <w:r>
        <w:t xml:space="preserve"> and its implications.</w:t>
      </w:r>
    </w:p>
    <w:p w14:paraId="19C11A97" w14:textId="77777777" w:rsidR="00347B5C" w:rsidRDefault="00347B5C" w:rsidP="00347B5C"/>
    <w:p w14:paraId="2025C117" w14:textId="77777777" w:rsidR="00347B5C" w:rsidRPr="00025BEA" w:rsidRDefault="00347B5C" w:rsidP="00347B5C">
      <w:pPr>
        <w:rPr>
          <w:b/>
          <w:bCs/>
        </w:rPr>
      </w:pPr>
      <w:r w:rsidRPr="00025BEA">
        <w:rPr>
          <w:b/>
          <w:bCs/>
        </w:rPr>
        <w:t>Question 2</w:t>
      </w:r>
    </w:p>
    <w:p w14:paraId="636D459A" w14:textId="77777777" w:rsidR="00347B5C" w:rsidRPr="00025BEA" w:rsidRDefault="00347B5C" w:rsidP="00347B5C">
      <w:r>
        <w:t xml:space="preserve">This question challenged candidates to examine notions of employees and independent contractors in the law on vicarious liability. The strongest answers were able to identify issues across a wide range of case law </w:t>
      </w:r>
      <w:proofErr w:type="gramStart"/>
      <w:r>
        <w:t>and also</w:t>
      </w:r>
      <w:proofErr w:type="gramEnd"/>
      <w:r>
        <w:t xml:space="preserve"> consider what might replace the current approach and concepts if changes were to be made. Weaker answers focused narrowly only on a few or recent cases without covering the wider range of issues, or else contented themselves with criticising the status quo without offering suggestions for improving the rules as they </w:t>
      </w:r>
      <w:proofErr w:type="gramStart"/>
      <w:r>
        <w:t>stand, and</w:t>
      </w:r>
      <w:proofErr w:type="gramEnd"/>
      <w:r>
        <w:t xml:space="preserve"> seemed content with leaving the judiciary to act </w:t>
      </w:r>
      <w:r>
        <w:rPr>
          <w:i/>
          <w:iCs/>
        </w:rPr>
        <w:t>ad hoc</w:t>
      </w:r>
      <w:r>
        <w:t xml:space="preserve"> rather than offering clearer guidance as to when vicarious liability would be established.</w:t>
      </w:r>
    </w:p>
    <w:p w14:paraId="72141243" w14:textId="77777777" w:rsidR="00347B5C" w:rsidRDefault="00347B5C" w:rsidP="00347B5C"/>
    <w:p w14:paraId="070D9512" w14:textId="77777777" w:rsidR="00347B5C" w:rsidRPr="00025BEA" w:rsidRDefault="00347B5C" w:rsidP="00347B5C">
      <w:pPr>
        <w:rPr>
          <w:b/>
          <w:bCs/>
        </w:rPr>
      </w:pPr>
      <w:r w:rsidRPr="00025BEA">
        <w:rPr>
          <w:b/>
          <w:bCs/>
        </w:rPr>
        <w:t>Question 3</w:t>
      </w:r>
    </w:p>
    <w:p w14:paraId="2F1C896A" w14:textId="77777777" w:rsidR="00347B5C" w:rsidRPr="00025BEA" w:rsidRDefault="00347B5C" w:rsidP="00347B5C">
      <w:r>
        <w:t xml:space="preserve">Strong candidates here were able to assess both the specific loss of chance cases and place them in the context of other issues of proof and departures from the balance of probabilities approach, including discussion of </w:t>
      </w:r>
      <w:r>
        <w:rPr>
          <w:i/>
          <w:iCs/>
        </w:rPr>
        <w:t>Fairchild</w:t>
      </w:r>
      <w:r>
        <w:t xml:space="preserve"> and related cases. Weaker candidates did not get much </w:t>
      </w:r>
      <w:r>
        <w:lastRenderedPageBreak/>
        <w:t xml:space="preserve">beyond </w:t>
      </w:r>
      <w:proofErr w:type="spellStart"/>
      <w:r>
        <w:rPr>
          <w:i/>
          <w:iCs/>
        </w:rPr>
        <w:t>Hotson</w:t>
      </w:r>
      <w:proofErr w:type="spellEnd"/>
      <w:r>
        <w:t xml:space="preserve">, </w:t>
      </w:r>
      <w:r>
        <w:rPr>
          <w:i/>
          <w:iCs/>
        </w:rPr>
        <w:t xml:space="preserve">Chester </w:t>
      </w:r>
      <w:r>
        <w:t xml:space="preserve">v. </w:t>
      </w:r>
      <w:r>
        <w:rPr>
          <w:i/>
          <w:iCs/>
        </w:rPr>
        <w:t>Afshar</w:t>
      </w:r>
      <w:r>
        <w:t xml:space="preserve"> and </w:t>
      </w:r>
      <w:r>
        <w:rPr>
          <w:i/>
          <w:iCs/>
        </w:rPr>
        <w:t xml:space="preserve">Gregg </w:t>
      </w:r>
      <w:r>
        <w:t xml:space="preserve">v. </w:t>
      </w:r>
      <w:r>
        <w:rPr>
          <w:i/>
          <w:iCs/>
        </w:rPr>
        <w:t>Scott</w:t>
      </w:r>
      <w:r>
        <w:t xml:space="preserve">. But </w:t>
      </w:r>
      <w:proofErr w:type="gramStart"/>
      <w:r>
        <w:t>overall</w:t>
      </w:r>
      <w:proofErr w:type="gramEnd"/>
      <w:r>
        <w:t xml:space="preserve"> this question was relatively popular and was answered well and clearly by most candidates.</w:t>
      </w:r>
    </w:p>
    <w:p w14:paraId="74D071FC" w14:textId="77777777" w:rsidR="00347B5C" w:rsidRDefault="00347B5C" w:rsidP="00347B5C"/>
    <w:p w14:paraId="7BB1BF83" w14:textId="77777777" w:rsidR="00347B5C" w:rsidRPr="00025BEA" w:rsidRDefault="00347B5C" w:rsidP="00347B5C">
      <w:pPr>
        <w:rPr>
          <w:b/>
          <w:bCs/>
        </w:rPr>
      </w:pPr>
      <w:r w:rsidRPr="00025BEA">
        <w:rPr>
          <w:b/>
          <w:bCs/>
        </w:rPr>
        <w:t>Question 4</w:t>
      </w:r>
    </w:p>
    <w:p w14:paraId="6D0D053D" w14:textId="77777777" w:rsidR="00347B5C" w:rsidRPr="00BE335B" w:rsidRDefault="00347B5C" w:rsidP="00347B5C">
      <w:r>
        <w:t xml:space="preserve">This was not the most popular question, but it received a range of rather strong answers as well as some weaker and disorganised efforts which struggled to structure the case law and explain the shifts in approach and their significance. The best candidates were able to highlight the dangers of inconsistency and </w:t>
      </w:r>
      <w:r>
        <w:rPr>
          <w:i/>
          <w:iCs/>
        </w:rPr>
        <w:t>ad hoc</w:t>
      </w:r>
      <w:r>
        <w:t xml:space="preserve"> judicial decisions, while also noting the difficulty in providing a consistent formulation that could address all possible instances where illegality would affect tort liability.</w:t>
      </w:r>
    </w:p>
    <w:p w14:paraId="278EF0B8" w14:textId="77777777" w:rsidR="00347B5C" w:rsidRDefault="00347B5C" w:rsidP="00347B5C"/>
    <w:p w14:paraId="31B58A8D" w14:textId="77777777" w:rsidR="00347B5C" w:rsidRPr="00025BEA" w:rsidRDefault="00347B5C" w:rsidP="00347B5C">
      <w:pPr>
        <w:rPr>
          <w:b/>
          <w:bCs/>
        </w:rPr>
      </w:pPr>
      <w:r w:rsidRPr="00025BEA">
        <w:rPr>
          <w:b/>
          <w:bCs/>
        </w:rPr>
        <w:t>Question 5</w:t>
      </w:r>
    </w:p>
    <w:p w14:paraId="1C91168C" w14:textId="77777777" w:rsidR="00347B5C" w:rsidRDefault="00347B5C" w:rsidP="00347B5C">
      <w:r>
        <w:t>Few candidates attempted this broader question, which invited answers which looked beyond a focus purely on compensation as a remedy, encouraging consideration of ways of reflecting the nature or gravity of a wrong committed. Those who did answer the question dealt well with issues of exemplary and punitive damages, and those cases which seem to go beyond pure compensation yet are unwilling to acknowledge that this is what is happening in substance.</w:t>
      </w:r>
    </w:p>
    <w:p w14:paraId="051AABBD" w14:textId="77777777" w:rsidR="00347B5C" w:rsidRDefault="00347B5C" w:rsidP="00347B5C"/>
    <w:p w14:paraId="6B3B31F2" w14:textId="77777777" w:rsidR="00347B5C" w:rsidRPr="00025BEA" w:rsidRDefault="00347B5C" w:rsidP="00347B5C">
      <w:pPr>
        <w:rPr>
          <w:b/>
          <w:bCs/>
        </w:rPr>
      </w:pPr>
      <w:r w:rsidRPr="00025BEA">
        <w:rPr>
          <w:b/>
          <w:bCs/>
        </w:rPr>
        <w:t>Question 6</w:t>
      </w:r>
    </w:p>
    <w:p w14:paraId="58F80B45" w14:textId="77777777" w:rsidR="00347B5C" w:rsidRDefault="00347B5C" w:rsidP="00347B5C">
      <w:r>
        <w:t xml:space="preserve">Again, this was not a question answered by many candidates, but those who did were generally able to assess the role of the tort of defamation and defences thereunder, looking at whether the 2013 Act has made any significant difference to the balance, as well as raising other issues beyond those mentioned in the question (e.g. proof, impact upon freedom of expression and both amateur and professional journalism, online intermediary roles and liability) which might be considered to be the ‘real problem(s)’. </w:t>
      </w:r>
    </w:p>
    <w:p w14:paraId="3ED547BC" w14:textId="77777777" w:rsidR="00347B5C" w:rsidRDefault="00347B5C" w:rsidP="00347B5C"/>
    <w:p w14:paraId="172DBFD5" w14:textId="77777777" w:rsidR="00347B5C" w:rsidRPr="00025BEA" w:rsidRDefault="00347B5C" w:rsidP="00347B5C">
      <w:pPr>
        <w:rPr>
          <w:b/>
          <w:bCs/>
        </w:rPr>
      </w:pPr>
      <w:r w:rsidRPr="00025BEA">
        <w:rPr>
          <w:b/>
          <w:bCs/>
        </w:rPr>
        <w:t>Question 7</w:t>
      </w:r>
    </w:p>
    <w:p w14:paraId="5124FB43" w14:textId="77777777" w:rsidR="00347B5C" w:rsidRDefault="00347B5C" w:rsidP="00347B5C">
      <w:r>
        <w:lastRenderedPageBreak/>
        <w:t xml:space="preserve">This was a challenging question referring to the different elements of the economic torts, but the open book nature of the examination this year allowed the relatively small number of candidates attempting this question to manage this rather well and there were some clear, </w:t>
      </w:r>
      <w:proofErr w:type="gramStart"/>
      <w:r>
        <w:t>strong</w:t>
      </w:r>
      <w:proofErr w:type="gramEnd"/>
      <w:r>
        <w:t xml:space="preserve"> and critical answers provided which showed good understanding of the case law, its complexity and implications and the varying contexts in which such rules might be applied.</w:t>
      </w:r>
    </w:p>
    <w:p w14:paraId="12C80B9D" w14:textId="77777777" w:rsidR="00347B5C" w:rsidRDefault="00347B5C" w:rsidP="00347B5C"/>
    <w:p w14:paraId="1F724A72" w14:textId="77777777" w:rsidR="00347B5C" w:rsidRPr="00025BEA" w:rsidRDefault="00347B5C" w:rsidP="00347B5C">
      <w:pPr>
        <w:rPr>
          <w:b/>
          <w:bCs/>
        </w:rPr>
      </w:pPr>
      <w:r w:rsidRPr="00025BEA">
        <w:rPr>
          <w:b/>
          <w:bCs/>
        </w:rPr>
        <w:t>Question 8</w:t>
      </w:r>
    </w:p>
    <w:p w14:paraId="7E9ECB08" w14:textId="77777777" w:rsidR="00347B5C" w:rsidRPr="0043284C" w:rsidRDefault="00347B5C" w:rsidP="00347B5C">
      <w:r>
        <w:t xml:space="preserve">This problem question garnered some solid answers addressing issues of </w:t>
      </w:r>
      <w:proofErr w:type="spellStart"/>
      <w:r>
        <w:rPr>
          <w:i/>
          <w:iCs/>
        </w:rPr>
        <w:t>novus</w:t>
      </w:r>
      <w:proofErr w:type="spellEnd"/>
      <w:r>
        <w:rPr>
          <w:i/>
          <w:iCs/>
        </w:rPr>
        <w:t xml:space="preserve"> actus</w:t>
      </w:r>
      <w:r>
        <w:t>, questions of warning and how the patients would have responded (</w:t>
      </w:r>
      <w:r>
        <w:rPr>
          <w:i/>
          <w:iCs/>
        </w:rPr>
        <w:t>Chester</w:t>
      </w:r>
      <w:r>
        <w:t xml:space="preserve"> v. </w:t>
      </w:r>
      <w:r>
        <w:rPr>
          <w:i/>
          <w:iCs/>
        </w:rPr>
        <w:t>Afshar</w:t>
      </w:r>
      <w:r>
        <w:t>), and more broadly what degree of warning of risks can be expected (</w:t>
      </w:r>
      <w:r>
        <w:rPr>
          <w:i/>
          <w:iCs/>
        </w:rPr>
        <w:t>Montgomery</w:t>
      </w:r>
      <w:r>
        <w:t>). Stronger answers also addressed loss of a chance questions and the issues concerned the extent of damages that each could claim (injury, employment, etc).</w:t>
      </w:r>
    </w:p>
    <w:p w14:paraId="2CDFE705" w14:textId="77777777" w:rsidR="00347B5C" w:rsidRDefault="00347B5C" w:rsidP="00347B5C"/>
    <w:p w14:paraId="24AE8110" w14:textId="77777777" w:rsidR="00347B5C" w:rsidRPr="00025BEA" w:rsidRDefault="00347B5C" w:rsidP="00347B5C">
      <w:pPr>
        <w:rPr>
          <w:b/>
          <w:bCs/>
        </w:rPr>
      </w:pPr>
      <w:r w:rsidRPr="00025BEA">
        <w:rPr>
          <w:b/>
          <w:bCs/>
        </w:rPr>
        <w:t>Question 9</w:t>
      </w:r>
    </w:p>
    <w:p w14:paraId="5599F8E9" w14:textId="77777777" w:rsidR="00347B5C" w:rsidRPr="0043284C" w:rsidRDefault="00347B5C" w:rsidP="00347B5C">
      <w:r>
        <w:t xml:space="preserve">This problem question on nuisance, </w:t>
      </w:r>
      <w:r>
        <w:rPr>
          <w:i/>
          <w:iCs/>
        </w:rPr>
        <w:t>Rylands</w:t>
      </w:r>
      <w:r>
        <w:t xml:space="preserve"> and trespass to land received a good number of answers, many of which were strong and very nicely organised, noting difficulties of standing to sue and the range of harms that were suffered, linking them to the appropriate torts. A common gap was not noting the trespass to land issue, but most key issues were at least raised, while some stronger answers dealt well with the nuances and were able to differentiate the different possible torts and harms involved.</w:t>
      </w:r>
    </w:p>
    <w:p w14:paraId="0EEEE208" w14:textId="77777777" w:rsidR="00347B5C" w:rsidRDefault="00347B5C" w:rsidP="00347B5C"/>
    <w:p w14:paraId="7D620925" w14:textId="77777777" w:rsidR="00347B5C" w:rsidRPr="00025BEA" w:rsidRDefault="00347B5C" w:rsidP="00347B5C">
      <w:pPr>
        <w:rPr>
          <w:b/>
          <w:bCs/>
        </w:rPr>
      </w:pPr>
      <w:r w:rsidRPr="00025BEA">
        <w:rPr>
          <w:b/>
          <w:bCs/>
        </w:rPr>
        <w:t>Question 10</w:t>
      </w:r>
    </w:p>
    <w:p w14:paraId="3505D225" w14:textId="77777777" w:rsidR="00347B5C" w:rsidRDefault="00347B5C" w:rsidP="00347B5C">
      <w:r>
        <w:t xml:space="preserve">This question received a goodly number of answers, most of which </w:t>
      </w:r>
      <w:proofErr w:type="gramStart"/>
      <w:r>
        <w:t>were capable of highlighting</w:t>
      </w:r>
      <w:proofErr w:type="gramEnd"/>
      <w:r>
        <w:t xml:space="preserve"> the product liability and related issues (intended purpose, remoteness of some harms from the defect, contributory negligence, vicarious liability for the bus driver’s conduct, etc). Some weaker answers ignored the product liability issue and tried to deal with the whole thing under negligence.</w:t>
      </w:r>
    </w:p>
    <w:p w14:paraId="3B5B991A" w14:textId="77777777" w:rsidR="00347B5C" w:rsidRDefault="00347B5C" w:rsidP="00347B5C"/>
    <w:p w14:paraId="440D551C" w14:textId="77777777" w:rsidR="00347B5C" w:rsidRPr="00025BEA" w:rsidRDefault="00347B5C" w:rsidP="00347B5C">
      <w:pPr>
        <w:rPr>
          <w:b/>
          <w:bCs/>
        </w:rPr>
      </w:pPr>
      <w:r w:rsidRPr="00025BEA">
        <w:rPr>
          <w:b/>
          <w:bCs/>
        </w:rPr>
        <w:t>Question 11</w:t>
      </w:r>
    </w:p>
    <w:p w14:paraId="4E86E4C5" w14:textId="77777777" w:rsidR="00347B5C" w:rsidRDefault="00347B5C" w:rsidP="00347B5C">
      <w:r>
        <w:lastRenderedPageBreak/>
        <w:t>This problem question focusing on occupiers’ liability was popular and generally well answered in an organised and structured manner. The role of the child and the implications of this were generally well handled, the responsibility of his father was more variably treated, with some not engaging with that issue when addressing the occupier’s liability. Some answers got a bit confused with the status of the gardening services provider, not seeing the relationship between it and the manor and the manor’s own gardener very clearly, with consequences for how issues of independent contractors and vicarious liability were addressed. But overall, this problem question was dealt with rather well, with many solid and some outstanding answers.</w:t>
      </w:r>
    </w:p>
    <w:p w14:paraId="28032BFD" w14:textId="77777777" w:rsidR="00347B5C" w:rsidRDefault="00347B5C" w:rsidP="00347B5C"/>
    <w:p w14:paraId="1CBB5B42" w14:textId="77777777" w:rsidR="00347B5C" w:rsidRDefault="00347B5C" w:rsidP="00347B5C">
      <w:r w:rsidRPr="00025BEA">
        <w:rPr>
          <w:b/>
          <w:bCs/>
        </w:rPr>
        <w:t>Question 12</w:t>
      </w:r>
    </w:p>
    <w:p w14:paraId="5AA8BE5A" w14:textId="77777777" w:rsidR="00347B5C" w:rsidRPr="003621A9" w:rsidRDefault="00347B5C" w:rsidP="00347B5C">
      <w:r>
        <w:t xml:space="preserve">This problem question was answered by many candidates, who generally showed a good grasp of the pure economic loss case law, the different and potentially overlapping duty </w:t>
      </w:r>
      <w:proofErr w:type="gramStart"/>
      <w:r>
        <w:t>categories</w:t>
      </w:r>
      <w:proofErr w:type="gramEnd"/>
      <w:r>
        <w:t xml:space="preserve"> and the difficulties in applying them to such social-professional hybrid situations. The strongest candidates were also able to address the details concerning the causal links and remoteness issues concerning the share price drops. Weaker candidates did not get much beyond drawing loose parallels with the duty of care cases here, without dealing with the details of the </w:t>
      </w:r>
      <w:proofErr w:type="gramStart"/>
      <w:r>
        <w:t>particular situation</w:t>
      </w:r>
      <w:proofErr w:type="gramEnd"/>
      <w:r>
        <w:t xml:space="preserve"> or the questions of harm and assessment of damages.</w:t>
      </w:r>
    </w:p>
    <w:p w14:paraId="220906C0" w14:textId="77777777" w:rsidR="00347B5C" w:rsidRDefault="00347B5C" w:rsidP="005243CD">
      <w:pPr>
        <w:textAlignment w:val="baseline"/>
        <w:rPr>
          <w:rStyle w:val="Ref"/>
          <w:rFonts w:eastAsia="Calibri"/>
          <w:b/>
          <w:bCs/>
          <w:color w:val="000000"/>
          <w:szCs w:val="23"/>
        </w:rPr>
      </w:pPr>
    </w:p>
    <w:p w14:paraId="50AD00C2" w14:textId="46E388EF" w:rsidR="005243CD" w:rsidRPr="005243CD" w:rsidRDefault="005243CD" w:rsidP="005243CD">
      <w:pPr>
        <w:textAlignment w:val="baseline"/>
        <w:rPr>
          <w:rFonts w:cs="Arial"/>
          <w:color w:val="201F1E"/>
          <w:szCs w:val="22"/>
          <w:bdr w:val="none" w:sz="0" w:space="0" w:color="auto" w:frame="1"/>
          <w:lang w:eastAsia="en-GB"/>
        </w:rPr>
      </w:pPr>
      <w:r w:rsidRPr="005243CD">
        <w:rPr>
          <w:rStyle w:val="Ref"/>
          <w:rFonts w:eastAsia="Calibri"/>
          <w:b/>
          <w:bCs/>
          <w:color w:val="000000"/>
          <w:szCs w:val="23"/>
        </w:rPr>
        <w:t>TRUSTS</w:t>
      </w:r>
      <w:r>
        <w:rPr>
          <w:rStyle w:val="Ref"/>
          <w:rFonts w:eastAsia="Calibri"/>
          <w:b/>
          <w:bCs/>
          <w:color w:val="000000"/>
          <w:szCs w:val="23"/>
        </w:rPr>
        <w:br/>
      </w:r>
      <w:r>
        <w:rPr>
          <w:rStyle w:val="Ref"/>
          <w:rFonts w:eastAsia="Calibri"/>
          <w:b/>
          <w:bCs/>
          <w:color w:val="000000"/>
          <w:szCs w:val="23"/>
        </w:rPr>
        <w:br/>
      </w:r>
      <w:r w:rsidRPr="005243CD">
        <w:rPr>
          <w:rFonts w:cs="Arial"/>
          <w:color w:val="201F1E"/>
          <w:szCs w:val="22"/>
          <w:bdr w:val="none" w:sz="0" w:space="0" w:color="auto" w:frame="1"/>
          <w:lang w:eastAsia="en-GB"/>
        </w:rPr>
        <w:t xml:space="preserve">General </w:t>
      </w:r>
      <w:proofErr w:type="gramStart"/>
      <w:r w:rsidRPr="005243CD">
        <w:rPr>
          <w:rFonts w:cs="Arial"/>
          <w:color w:val="201F1E"/>
          <w:szCs w:val="22"/>
          <w:bdr w:val="none" w:sz="0" w:space="0" w:color="auto" w:frame="1"/>
          <w:lang w:eastAsia="en-GB"/>
        </w:rPr>
        <w:t>comments</w:t>
      </w:r>
      <w:proofErr w:type="gramEnd"/>
    </w:p>
    <w:p w14:paraId="1802E86C" w14:textId="77777777" w:rsidR="005243CD" w:rsidRPr="005243CD" w:rsidRDefault="005243CD" w:rsidP="005243CD">
      <w:pPr>
        <w:textAlignment w:val="baseline"/>
        <w:rPr>
          <w:rFonts w:cs="Arial"/>
          <w:color w:val="201F1E"/>
          <w:szCs w:val="22"/>
          <w:bdr w:val="none" w:sz="0" w:space="0" w:color="auto" w:frame="1"/>
          <w:lang w:eastAsia="en-GB"/>
        </w:rPr>
      </w:pPr>
      <w:r w:rsidRPr="005243CD">
        <w:rPr>
          <w:rFonts w:cs="Arial"/>
          <w:color w:val="201F1E"/>
          <w:szCs w:val="22"/>
          <w:bdr w:val="none" w:sz="0" w:space="0" w:color="auto" w:frame="1"/>
          <w:lang w:eastAsia="en-GB"/>
        </w:rPr>
        <w:t xml:space="preserve">Too many candidates answered the questions they had hoped to see rather than engaging with the precise terms of those </w:t>
      </w:r>
      <w:proofErr w:type="gramStart"/>
      <w:r w:rsidRPr="005243CD">
        <w:rPr>
          <w:rFonts w:cs="Arial"/>
          <w:color w:val="201F1E"/>
          <w:szCs w:val="22"/>
          <w:bdr w:val="none" w:sz="0" w:space="0" w:color="auto" w:frame="1"/>
          <w:lang w:eastAsia="en-GB"/>
        </w:rPr>
        <w:t>actually set</w:t>
      </w:r>
      <w:proofErr w:type="gramEnd"/>
      <w:r w:rsidRPr="005243CD">
        <w:rPr>
          <w:rFonts w:cs="Arial"/>
          <w:color w:val="201F1E"/>
          <w:szCs w:val="22"/>
          <w:bdr w:val="none" w:sz="0" w:space="0" w:color="auto" w:frame="1"/>
          <w:lang w:eastAsia="en-GB"/>
        </w:rPr>
        <w:t xml:space="preserve">. This is scarcely a new observation, but its persistence leads to the united view of this year’s Trusts markers that it needs to be said again. That said, there were many strong performances too, demonstrating serious preparation, across a particularly challenging year, coherent formation and pace of argument, and awareness of the positions taken up by the leading players, both judges and academics – as well as careful attention to the actual question asked. In this most extraordinary of examination years, it was this last feature that still remained key for promotion to the </w:t>
      </w:r>
      <w:proofErr w:type="gramStart"/>
      <w:r w:rsidRPr="005243CD">
        <w:rPr>
          <w:rFonts w:cs="Arial"/>
          <w:color w:val="201F1E"/>
          <w:szCs w:val="22"/>
          <w:bdr w:val="none" w:sz="0" w:space="0" w:color="auto" w:frame="1"/>
          <w:lang w:eastAsia="en-GB"/>
        </w:rPr>
        <w:t>first class</w:t>
      </w:r>
      <w:proofErr w:type="gramEnd"/>
      <w:r w:rsidRPr="005243CD">
        <w:rPr>
          <w:rFonts w:cs="Arial"/>
          <w:color w:val="201F1E"/>
          <w:szCs w:val="22"/>
          <w:bdr w:val="none" w:sz="0" w:space="0" w:color="auto" w:frame="1"/>
          <w:lang w:eastAsia="en-GB"/>
        </w:rPr>
        <w:t xml:space="preserve"> division of the FHS.</w:t>
      </w:r>
    </w:p>
    <w:p w14:paraId="57B96328" w14:textId="77777777" w:rsidR="005243CD" w:rsidRPr="005243CD" w:rsidRDefault="005243CD" w:rsidP="005243CD">
      <w:pPr>
        <w:textAlignment w:val="baseline"/>
        <w:rPr>
          <w:rFonts w:cs="Arial"/>
          <w:color w:val="201F1E"/>
          <w:szCs w:val="22"/>
          <w:bdr w:val="none" w:sz="0" w:space="0" w:color="auto" w:frame="1"/>
          <w:lang w:eastAsia="en-GB"/>
        </w:rPr>
      </w:pPr>
      <w:r w:rsidRPr="005243CD">
        <w:rPr>
          <w:rFonts w:cs="Arial"/>
          <w:color w:val="201F1E"/>
          <w:szCs w:val="22"/>
          <w:bdr w:val="none" w:sz="0" w:space="0" w:color="auto" w:frame="1"/>
          <w:lang w:eastAsia="en-GB"/>
        </w:rPr>
        <w:t>Questions</w:t>
      </w:r>
    </w:p>
    <w:p w14:paraId="7E1DD6A3" w14:textId="77777777" w:rsidR="005243CD" w:rsidRPr="005243CD" w:rsidRDefault="005243CD" w:rsidP="005243CD">
      <w:pPr>
        <w:textAlignment w:val="baseline"/>
        <w:rPr>
          <w:rFonts w:cs="Arial"/>
          <w:color w:val="201F1E"/>
          <w:szCs w:val="22"/>
          <w:bdr w:val="none" w:sz="0" w:space="0" w:color="auto" w:frame="1"/>
          <w:lang w:eastAsia="en-GB"/>
        </w:rPr>
      </w:pPr>
      <w:r w:rsidRPr="005243CD">
        <w:rPr>
          <w:rFonts w:cs="Arial"/>
          <w:color w:val="201F1E"/>
          <w:szCs w:val="22"/>
          <w:bdr w:val="none" w:sz="0" w:space="0" w:color="auto" w:frame="1"/>
          <w:lang w:eastAsia="en-GB"/>
        </w:rPr>
        <w:t>Q1. (Maitland quotation about nature of ownership of trustee and</w:t>
      </w:r>
      <w:r w:rsidRPr="005243CD">
        <w:rPr>
          <w:rFonts w:cs="Arial"/>
          <w:i/>
          <w:color w:val="201F1E"/>
          <w:szCs w:val="22"/>
          <w:bdr w:val="none" w:sz="0" w:space="0" w:color="auto" w:frame="1"/>
          <w:lang w:eastAsia="en-GB"/>
        </w:rPr>
        <w:t xml:space="preserve"> cestui que trust</w:t>
      </w:r>
      <w:r w:rsidRPr="005243CD">
        <w:rPr>
          <w:rFonts w:cs="Arial"/>
          <w:color w:val="201F1E"/>
          <w:szCs w:val="22"/>
          <w:bdr w:val="none" w:sz="0" w:space="0" w:color="auto" w:frame="1"/>
          <w:lang w:eastAsia="en-GB"/>
        </w:rPr>
        <w:t xml:space="preserve">). Not answered by many candidates.  Too many answers payed insufficient attention to the quotation itself, choosing to talk more generally about the issues and discuss other commentators’ views, </w:t>
      </w:r>
      <w:r w:rsidRPr="005243CD">
        <w:rPr>
          <w:rFonts w:cs="Arial"/>
          <w:color w:val="201F1E"/>
          <w:szCs w:val="22"/>
          <w:bdr w:val="none" w:sz="0" w:space="0" w:color="auto" w:frame="1"/>
          <w:lang w:eastAsia="en-GB"/>
        </w:rPr>
        <w:lastRenderedPageBreak/>
        <w:t xml:space="preserve">rather than analyse the precise point Maitland was making.  But there were also some very good answers which explored a wide range of case law in </w:t>
      </w:r>
      <w:proofErr w:type="gramStart"/>
      <w:r w:rsidRPr="005243CD">
        <w:rPr>
          <w:rFonts w:cs="Arial"/>
          <w:color w:val="201F1E"/>
          <w:szCs w:val="22"/>
          <w:bdr w:val="none" w:sz="0" w:space="0" w:color="auto" w:frame="1"/>
          <w:lang w:eastAsia="en-GB"/>
        </w:rPr>
        <w:t>depth, and</w:t>
      </w:r>
      <w:proofErr w:type="gramEnd"/>
      <w:r w:rsidRPr="005243CD">
        <w:rPr>
          <w:rFonts w:cs="Arial"/>
          <w:color w:val="201F1E"/>
          <w:szCs w:val="22"/>
          <w:bdr w:val="none" w:sz="0" w:space="0" w:color="auto" w:frame="1"/>
          <w:lang w:eastAsia="en-GB"/>
        </w:rPr>
        <w:t xml:space="preserve"> used it to assess directly the claims in the quotation.</w:t>
      </w:r>
    </w:p>
    <w:p w14:paraId="59C014A3" w14:textId="77777777"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 </w:t>
      </w:r>
    </w:p>
    <w:p w14:paraId="38E4A0EF" w14:textId="77777777"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 xml:space="preserve">Q2. (Imperfect gifts question). There was a tendency to focus only on </w:t>
      </w:r>
      <w:r w:rsidRPr="005243CD">
        <w:rPr>
          <w:rFonts w:cs="Arial"/>
          <w:i/>
          <w:color w:val="201F1E"/>
          <w:szCs w:val="22"/>
          <w:bdr w:val="none" w:sz="0" w:space="0" w:color="auto" w:frame="1"/>
          <w:lang w:eastAsia="en-GB"/>
        </w:rPr>
        <w:t xml:space="preserve">Pennington v </w:t>
      </w:r>
      <w:proofErr w:type="spellStart"/>
      <w:r w:rsidRPr="005243CD">
        <w:rPr>
          <w:rFonts w:cs="Arial"/>
          <w:i/>
          <w:color w:val="201F1E"/>
          <w:szCs w:val="22"/>
          <w:bdr w:val="none" w:sz="0" w:space="0" w:color="auto" w:frame="1"/>
          <w:lang w:eastAsia="en-GB"/>
        </w:rPr>
        <w:t>Waine</w:t>
      </w:r>
      <w:proofErr w:type="spellEnd"/>
      <w:r w:rsidRPr="005243CD">
        <w:rPr>
          <w:rFonts w:cs="Arial"/>
          <w:color w:val="201F1E"/>
          <w:szCs w:val="22"/>
          <w:bdr w:val="none" w:sz="0" w:space="0" w:color="auto" w:frame="1"/>
          <w:lang w:eastAsia="en-GB"/>
        </w:rPr>
        <w:t xml:space="preserve">, or </w:t>
      </w:r>
      <w:r w:rsidRPr="005243CD">
        <w:rPr>
          <w:rFonts w:cs="Arial"/>
          <w:i/>
          <w:color w:val="201F1E"/>
          <w:szCs w:val="22"/>
          <w:bdr w:val="none" w:sz="0" w:space="0" w:color="auto" w:frame="1"/>
          <w:lang w:eastAsia="en-GB"/>
        </w:rPr>
        <w:t>Pennington</w:t>
      </w:r>
      <w:r w:rsidRPr="005243CD">
        <w:rPr>
          <w:rFonts w:cs="Arial"/>
          <w:color w:val="201F1E"/>
          <w:szCs w:val="22"/>
          <w:bdr w:val="none" w:sz="0" w:space="0" w:color="auto" w:frame="1"/>
          <w:lang w:eastAsia="en-GB"/>
        </w:rPr>
        <w:t xml:space="preserve"> and </w:t>
      </w:r>
      <w:r w:rsidRPr="005243CD">
        <w:rPr>
          <w:rFonts w:cs="Arial"/>
          <w:i/>
          <w:color w:val="201F1E"/>
          <w:szCs w:val="22"/>
          <w:bdr w:val="none" w:sz="0" w:space="0" w:color="auto" w:frame="1"/>
          <w:lang w:eastAsia="en-GB"/>
        </w:rPr>
        <w:t>Re Rose</w:t>
      </w:r>
      <w:r w:rsidRPr="005243CD">
        <w:rPr>
          <w:rFonts w:cs="Arial"/>
          <w:color w:val="201F1E"/>
          <w:szCs w:val="22"/>
          <w:bdr w:val="none" w:sz="0" w:space="0" w:color="auto" w:frame="1"/>
          <w:lang w:eastAsia="en-GB"/>
        </w:rPr>
        <w:t xml:space="preserve">, with some candidates thinking that </w:t>
      </w:r>
      <w:r w:rsidRPr="005243CD">
        <w:rPr>
          <w:rFonts w:cs="Arial"/>
          <w:i/>
          <w:color w:val="201F1E"/>
          <w:szCs w:val="22"/>
          <w:bdr w:val="none" w:sz="0" w:space="0" w:color="auto" w:frame="1"/>
          <w:lang w:eastAsia="en-GB"/>
        </w:rPr>
        <w:t>Re Rose</w:t>
      </w:r>
      <w:r w:rsidRPr="005243CD">
        <w:rPr>
          <w:rFonts w:cs="Arial"/>
          <w:color w:val="201F1E"/>
          <w:szCs w:val="22"/>
          <w:bdr w:val="none" w:sz="0" w:space="0" w:color="auto" w:frame="1"/>
          <w:lang w:eastAsia="en-GB"/>
        </w:rPr>
        <w:t xml:space="preserve"> was an application of the maxim that ‘equity looks upon as done that which ought to be done’, suggesting an obligation of some sort to make gifts. Better answers also discussed </w:t>
      </w:r>
      <w:r w:rsidRPr="005243CD">
        <w:rPr>
          <w:rFonts w:cs="Arial"/>
          <w:i/>
          <w:color w:val="201F1E"/>
          <w:szCs w:val="22"/>
          <w:bdr w:val="none" w:sz="0" w:space="0" w:color="auto" w:frame="1"/>
          <w:lang w:eastAsia="en-GB"/>
        </w:rPr>
        <w:t>DMC</w:t>
      </w:r>
      <w:r w:rsidRPr="005243CD">
        <w:rPr>
          <w:rFonts w:cs="Arial"/>
          <w:color w:val="201F1E"/>
          <w:szCs w:val="22"/>
          <w:bdr w:val="none" w:sz="0" w:space="0" w:color="auto" w:frame="1"/>
          <w:lang w:eastAsia="en-GB"/>
        </w:rPr>
        <w:t xml:space="preserve">, the rule in </w:t>
      </w:r>
      <w:r w:rsidRPr="005243CD">
        <w:rPr>
          <w:rFonts w:cs="Arial"/>
          <w:i/>
          <w:color w:val="201F1E"/>
          <w:szCs w:val="22"/>
          <w:bdr w:val="none" w:sz="0" w:space="0" w:color="auto" w:frame="1"/>
          <w:lang w:eastAsia="en-GB"/>
        </w:rPr>
        <w:t>Strong v Bird</w:t>
      </w:r>
      <w:r w:rsidRPr="005243CD">
        <w:rPr>
          <w:rFonts w:cs="Arial"/>
          <w:color w:val="201F1E"/>
          <w:szCs w:val="22"/>
          <w:bdr w:val="none" w:sz="0" w:space="0" w:color="auto" w:frame="1"/>
          <w:lang w:eastAsia="en-GB"/>
        </w:rPr>
        <w:t xml:space="preserve">, and proprietary estoppel cases; as well as considering the reasoning of Clarke LJ, as well as Arden LJ, in </w:t>
      </w:r>
      <w:r w:rsidRPr="005243CD">
        <w:rPr>
          <w:rFonts w:cs="Arial"/>
          <w:i/>
          <w:color w:val="201F1E"/>
          <w:szCs w:val="22"/>
          <w:bdr w:val="none" w:sz="0" w:space="0" w:color="auto" w:frame="1"/>
          <w:lang w:eastAsia="en-GB"/>
        </w:rPr>
        <w:t>Pennington</w:t>
      </w:r>
      <w:r w:rsidRPr="005243CD">
        <w:rPr>
          <w:rFonts w:cs="Arial"/>
          <w:color w:val="201F1E"/>
          <w:szCs w:val="22"/>
          <w:bdr w:val="none" w:sz="0" w:space="0" w:color="auto" w:frame="1"/>
          <w:lang w:eastAsia="en-GB"/>
        </w:rPr>
        <w:t>, and post-</w:t>
      </w:r>
      <w:r w:rsidRPr="005243CD">
        <w:rPr>
          <w:rFonts w:cs="Arial"/>
          <w:i/>
          <w:color w:val="201F1E"/>
          <w:szCs w:val="22"/>
          <w:bdr w:val="none" w:sz="0" w:space="0" w:color="auto" w:frame="1"/>
          <w:lang w:eastAsia="en-GB"/>
        </w:rPr>
        <w:t>Pennington</w:t>
      </w:r>
      <w:r w:rsidRPr="005243CD">
        <w:rPr>
          <w:rFonts w:cs="Arial"/>
          <w:color w:val="201F1E"/>
          <w:szCs w:val="22"/>
          <w:bdr w:val="none" w:sz="0" w:space="0" w:color="auto" w:frame="1"/>
          <w:lang w:eastAsia="en-GB"/>
        </w:rPr>
        <w:t xml:space="preserve"> case law.</w:t>
      </w:r>
      <w:r w:rsidRPr="005243CD">
        <w:rPr>
          <w:rFonts w:cs="Arial"/>
          <w:color w:val="201F1E"/>
          <w:szCs w:val="22"/>
          <w:lang w:eastAsia="en-GB"/>
        </w:rPr>
        <w:t xml:space="preserve"> The strongest answers also considered </w:t>
      </w:r>
      <w:r w:rsidRPr="005243CD">
        <w:rPr>
          <w:rFonts w:cs="Arial"/>
          <w:i/>
          <w:color w:val="201F1E"/>
          <w:szCs w:val="22"/>
          <w:lang w:eastAsia="en-GB"/>
        </w:rPr>
        <w:t>how</w:t>
      </w:r>
      <w:r w:rsidRPr="005243CD">
        <w:rPr>
          <w:rFonts w:cs="Arial"/>
          <w:color w:val="201F1E"/>
          <w:szCs w:val="22"/>
          <w:lang w:eastAsia="en-GB"/>
        </w:rPr>
        <w:t xml:space="preserve"> to assess whether the law in this area is ‘satisfactory’: critically considering underlying policy factors suggested by the cases and </w:t>
      </w:r>
      <w:proofErr w:type="gramStart"/>
      <w:r w:rsidRPr="005243CD">
        <w:rPr>
          <w:rFonts w:cs="Arial"/>
          <w:color w:val="201F1E"/>
          <w:szCs w:val="22"/>
          <w:lang w:eastAsia="en-GB"/>
        </w:rPr>
        <w:t>commentators, and</w:t>
      </w:r>
      <w:proofErr w:type="gramEnd"/>
      <w:r w:rsidRPr="005243CD">
        <w:rPr>
          <w:rFonts w:cs="Arial"/>
          <w:color w:val="201F1E"/>
          <w:szCs w:val="22"/>
          <w:lang w:eastAsia="en-GB"/>
        </w:rPr>
        <w:t xml:space="preserve"> assessing the current state of the law against them, integrating proposals for reform as appropriate.</w:t>
      </w:r>
    </w:p>
    <w:p w14:paraId="09B1D8F1" w14:textId="5E29259E"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 xml:space="preserve">Q3. (Lord Millett, </w:t>
      </w:r>
      <w:proofErr w:type="spellStart"/>
      <w:r w:rsidRPr="005243CD">
        <w:rPr>
          <w:rFonts w:cs="Arial"/>
          <w:i/>
          <w:iCs/>
          <w:color w:val="201F1E"/>
          <w:szCs w:val="22"/>
          <w:bdr w:val="none" w:sz="0" w:space="0" w:color="auto" w:frame="1"/>
          <w:lang w:eastAsia="en-GB"/>
        </w:rPr>
        <w:t>Quistclose</w:t>
      </w:r>
      <w:proofErr w:type="spellEnd"/>
      <w:r w:rsidRPr="005243CD">
        <w:rPr>
          <w:rFonts w:cs="Arial"/>
          <w:i/>
          <w:iCs/>
          <w:color w:val="201F1E"/>
          <w:szCs w:val="22"/>
          <w:bdr w:val="none" w:sz="0" w:space="0" w:color="auto" w:frame="1"/>
          <w:lang w:eastAsia="en-GB"/>
        </w:rPr>
        <w:t> </w:t>
      </w:r>
      <w:r w:rsidRPr="005243CD">
        <w:rPr>
          <w:rFonts w:cs="Arial"/>
          <w:color w:val="201F1E"/>
          <w:szCs w:val="22"/>
          <w:bdr w:val="none" w:sz="0" w:space="0" w:color="auto" w:frame="1"/>
          <w:lang w:eastAsia="en-GB"/>
        </w:rPr>
        <w:t xml:space="preserve">trusts quotation). There was a frequent general failure to discuss the reasoning of the judges in the leading authorities in this area, concentrating instead exclusively on academic views; and a failure to engage carefully with the actual quotation. </w:t>
      </w:r>
      <w:r w:rsidRPr="005243CD">
        <w:rPr>
          <w:rFonts w:cs="Arial"/>
          <w:color w:val="201F1E"/>
          <w:szCs w:val="22"/>
          <w:lang w:eastAsia="en-GB"/>
        </w:rPr>
        <w:t>Many candidates assumed that Lord Millett was straightforwardly repeating his view in </w:t>
      </w:r>
      <w:proofErr w:type="spellStart"/>
      <w:r w:rsidRPr="005243CD">
        <w:rPr>
          <w:rFonts w:cs="Arial"/>
          <w:i/>
          <w:iCs/>
          <w:color w:val="201F1E"/>
          <w:szCs w:val="22"/>
          <w:lang w:eastAsia="en-GB"/>
        </w:rPr>
        <w:t>Twinsectra</w:t>
      </w:r>
      <w:proofErr w:type="spellEnd"/>
      <w:r w:rsidRPr="005243CD">
        <w:rPr>
          <w:rFonts w:cs="Arial"/>
          <w:color w:val="201F1E"/>
          <w:szCs w:val="22"/>
          <w:bdr w:val="none" w:sz="0" w:space="0" w:color="auto" w:frame="1"/>
          <w:lang w:eastAsia="en-GB"/>
        </w:rPr>
        <w:t>, and wrote an essay directed at critiquing that speech.</w:t>
      </w:r>
      <w:r w:rsidRPr="005243CD">
        <w:rPr>
          <w:rFonts w:cs="Arial"/>
          <w:i/>
          <w:iCs/>
          <w:color w:val="201F1E"/>
          <w:szCs w:val="22"/>
          <w:lang w:eastAsia="en-GB"/>
        </w:rPr>
        <w:t> </w:t>
      </w:r>
      <w:r w:rsidRPr="005243CD">
        <w:rPr>
          <w:rFonts w:cs="Arial"/>
          <w:color w:val="201F1E"/>
          <w:szCs w:val="22"/>
          <w:lang w:eastAsia="en-GB"/>
        </w:rPr>
        <w:t>Those who did engage with the quotation were able to impress with critical assessment of Lord Millett’s references to ‘trust and confidence’ and ‘betrayal’ of it by misapplication, and to consider issues such as the point at which the trust arises, the circumstances in which it does so, and the rights and duties of the parties both before and after insolvency. Some of the strongest answers showed consideration of what would make an explanation ‘adequate’, and how the explanation could affect the operation of the trust, in the process arguing for their own views on what would be desirable and why.</w:t>
      </w:r>
    </w:p>
    <w:p w14:paraId="4F121EE0" w14:textId="77777777"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 xml:space="preserve">Q4. (Resulting trusts quotation). Some answers over-emphasised </w:t>
      </w:r>
      <w:r w:rsidRPr="005243CD">
        <w:rPr>
          <w:rFonts w:cs="Arial"/>
          <w:color w:val="201F1E"/>
          <w:szCs w:val="22"/>
          <w:lang w:eastAsia="en-GB"/>
        </w:rPr>
        <w:t xml:space="preserve">automatic resulting trusts and almost excluded presumed resulting trusts from their discussion. A persistent fault was to fail to explain what presumed resulting trusts and automatic resulting trusts </w:t>
      </w:r>
      <w:proofErr w:type="gramStart"/>
      <w:r w:rsidRPr="005243CD">
        <w:rPr>
          <w:rFonts w:cs="Arial"/>
          <w:color w:val="201F1E"/>
          <w:szCs w:val="22"/>
          <w:lang w:eastAsia="en-GB"/>
        </w:rPr>
        <w:t>actually </w:t>
      </w:r>
      <w:r w:rsidRPr="005243CD">
        <w:rPr>
          <w:rFonts w:cs="Arial"/>
          <w:i/>
          <w:iCs/>
          <w:color w:val="201F1E"/>
          <w:szCs w:val="22"/>
          <w:lang w:eastAsia="en-GB"/>
        </w:rPr>
        <w:t>are</w:t>
      </w:r>
      <w:proofErr w:type="gramEnd"/>
      <w:r w:rsidRPr="005243CD">
        <w:rPr>
          <w:rFonts w:cs="Arial"/>
          <w:color w:val="201F1E"/>
          <w:szCs w:val="22"/>
          <w:lang w:eastAsia="en-GB"/>
        </w:rPr>
        <w:t>, and a failure to show knowledge of the cases, or even connect the quotation with the facts in </w:t>
      </w:r>
      <w:proofErr w:type="spellStart"/>
      <w:r w:rsidRPr="005243CD">
        <w:rPr>
          <w:rFonts w:cs="Arial"/>
          <w:i/>
          <w:iCs/>
          <w:color w:val="201F1E"/>
          <w:szCs w:val="22"/>
          <w:lang w:eastAsia="en-GB"/>
        </w:rPr>
        <w:t>Westdeutsche</w:t>
      </w:r>
      <w:proofErr w:type="spellEnd"/>
      <w:r w:rsidRPr="005243CD">
        <w:rPr>
          <w:rFonts w:cs="Arial"/>
          <w:color w:val="201F1E"/>
          <w:szCs w:val="22"/>
          <w:bdr w:val="none" w:sz="0" w:space="0" w:color="auto" w:frame="1"/>
          <w:lang w:eastAsia="en-GB"/>
        </w:rPr>
        <w:t> itself, despite those facts providing such a clear example of why it matters to know what the trigger is for a </w:t>
      </w:r>
      <w:r w:rsidRPr="005243CD">
        <w:rPr>
          <w:rFonts w:cs="Arial"/>
          <w:color w:val="201F1E"/>
          <w:szCs w:val="22"/>
          <w:lang w:eastAsia="en-GB"/>
        </w:rPr>
        <w:t xml:space="preserve">presumed resulting trust. Better answers engaged with the issue of ‘common’ intention (whether it is in fact required, and whether it ought to be), and with the implications of the </w:t>
      </w:r>
      <w:proofErr w:type="spellStart"/>
      <w:r w:rsidRPr="005243CD">
        <w:rPr>
          <w:rFonts w:cs="Arial"/>
          <w:i/>
          <w:iCs/>
          <w:color w:val="201F1E"/>
          <w:szCs w:val="22"/>
          <w:lang w:eastAsia="en-GB"/>
        </w:rPr>
        <w:t>Vandervell</w:t>
      </w:r>
      <w:proofErr w:type="spellEnd"/>
      <w:r w:rsidRPr="005243CD">
        <w:rPr>
          <w:rFonts w:cs="Arial"/>
          <w:color w:val="201F1E"/>
          <w:szCs w:val="22"/>
          <w:bdr w:val="none" w:sz="0" w:space="0" w:color="auto" w:frame="1"/>
          <w:lang w:eastAsia="en-GB"/>
        </w:rPr>
        <w:t> litigation and </w:t>
      </w:r>
      <w:r w:rsidRPr="005243CD">
        <w:rPr>
          <w:rFonts w:cs="Arial"/>
          <w:i/>
          <w:iCs/>
          <w:color w:val="201F1E"/>
          <w:szCs w:val="22"/>
          <w:lang w:eastAsia="en-GB"/>
        </w:rPr>
        <w:t>Air Jamaica</w:t>
      </w:r>
      <w:r w:rsidRPr="005243CD">
        <w:rPr>
          <w:rFonts w:cs="Arial"/>
          <w:color w:val="201F1E"/>
          <w:szCs w:val="22"/>
          <w:lang w:eastAsia="en-GB"/>
        </w:rPr>
        <w:t> for the sense in which it is sensible to refer to ‘intention’ in relation to automatic resulting trusts and whether they really do operate ‘automatically’.</w:t>
      </w:r>
    </w:p>
    <w:p w14:paraId="351129B7" w14:textId="3ED0EA7B" w:rsidR="005243CD" w:rsidRPr="005243CD" w:rsidRDefault="005243CD" w:rsidP="005243CD">
      <w:pPr>
        <w:textAlignment w:val="baseline"/>
        <w:rPr>
          <w:rFonts w:cs="Arial"/>
          <w:color w:val="201F1E"/>
          <w:szCs w:val="22"/>
          <w:bdr w:val="none" w:sz="0" w:space="0" w:color="auto" w:frame="1"/>
          <w:lang w:eastAsia="en-GB"/>
        </w:rPr>
      </w:pPr>
      <w:r w:rsidRPr="005243CD">
        <w:rPr>
          <w:rFonts w:cs="Arial"/>
          <w:color w:val="201F1E"/>
          <w:szCs w:val="22"/>
          <w:bdr w:val="none" w:sz="0" w:space="0" w:color="auto" w:frame="1"/>
          <w:lang w:eastAsia="en-GB"/>
        </w:rPr>
        <w:t>Q5. (Section 53, LPA 1925 question).  Often poorly done. Frequent failure to separate out paras (</w:t>
      </w:r>
      <w:r w:rsidRPr="005243CD">
        <w:rPr>
          <w:rFonts w:cs="Arial"/>
          <w:i/>
          <w:color w:val="201F1E"/>
          <w:szCs w:val="22"/>
          <w:bdr w:val="none" w:sz="0" w:space="0" w:color="auto" w:frame="1"/>
          <w:lang w:eastAsia="en-GB"/>
        </w:rPr>
        <w:t>b</w:t>
      </w:r>
      <w:r w:rsidRPr="005243CD">
        <w:rPr>
          <w:rFonts w:cs="Arial"/>
          <w:color w:val="201F1E"/>
          <w:szCs w:val="22"/>
          <w:bdr w:val="none" w:sz="0" w:space="0" w:color="auto" w:frame="1"/>
          <w:lang w:eastAsia="en-GB"/>
        </w:rPr>
        <w:t>) and (</w:t>
      </w:r>
      <w:r w:rsidRPr="005243CD">
        <w:rPr>
          <w:rFonts w:cs="Arial"/>
          <w:i/>
          <w:color w:val="201F1E"/>
          <w:szCs w:val="22"/>
          <w:bdr w:val="none" w:sz="0" w:space="0" w:color="auto" w:frame="1"/>
          <w:lang w:eastAsia="en-GB"/>
        </w:rPr>
        <w:t>c</w:t>
      </w:r>
      <w:r w:rsidRPr="005243CD">
        <w:rPr>
          <w:rFonts w:cs="Arial"/>
          <w:color w:val="201F1E"/>
          <w:szCs w:val="22"/>
          <w:bdr w:val="none" w:sz="0" w:space="0" w:color="auto" w:frame="1"/>
          <w:lang w:eastAsia="en-GB"/>
        </w:rPr>
        <w:t xml:space="preserve">) properly or at all, and unthinking and poor application of Fuller (is there really a ‘channelling’ function here?), and failure to notice that para (b) is not addressed just to a </w:t>
      </w:r>
      <w:proofErr w:type="gramStart"/>
      <w:r w:rsidRPr="005243CD">
        <w:rPr>
          <w:rFonts w:cs="Arial"/>
          <w:color w:val="201F1E"/>
          <w:szCs w:val="22"/>
          <w:bdr w:val="none" w:sz="0" w:space="0" w:color="auto" w:frame="1"/>
          <w:lang w:eastAsia="en-GB"/>
        </w:rPr>
        <w:t>settlor, and</w:t>
      </w:r>
      <w:proofErr w:type="gramEnd"/>
      <w:r w:rsidRPr="005243CD">
        <w:rPr>
          <w:rFonts w:cs="Arial"/>
          <w:color w:val="201F1E"/>
          <w:szCs w:val="22"/>
          <w:bdr w:val="none" w:sz="0" w:space="0" w:color="auto" w:frame="1"/>
          <w:lang w:eastAsia="en-GB"/>
        </w:rPr>
        <w:t xml:space="preserve"> was often mistakenly described by candidates as a rule governing ‘creation’, rather than concerning evidence of creation. Many candidates were reluctant to discuss either </w:t>
      </w:r>
      <w:r w:rsidRPr="005243CD">
        <w:rPr>
          <w:rFonts w:cs="Arial"/>
          <w:i/>
          <w:color w:val="201F1E"/>
          <w:szCs w:val="22"/>
          <w:bdr w:val="none" w:sz="0" w:space="0" w:color="auto" w:frame="1"/>
          <w:lang w:eastAsia="en-GB"/>
        </w:rPr>
        <w:t>Grey</w:t>
      </w:r>
      <w:r w:rsidRPr="005243CD">
        <w:rPr>
          <w:rFonts w:cs="Arial"/>
          <w:color w:val="201F1E"/>
          <w:szCs w:val="22"/>
          <w:bdr w:val="none" w:sz="0" w:space="0" w:color="auto" w:frame="1"/>
          <w:lang w:eastAsia="en-GB"/>
        </w:rPr>
        <w:t xml:space="preserve"> or </w:t>
      </w:r>
      <w:proofErr w:type="spellStart"/>
      <w:r w:rsidRPr="005243CD">
        <w:rPr>
          <w:rFonts w:cs="Arial"/>
          <w:i/>
          <w:color w:val="201F1E"/>
          <w:szCs w:val="22"/>
          <w:bdr w:val="none" w:sz="0" w:space="0" w:color="auto" w:frame="1"/>
          <w:lang w:eastAsia="en-GB"/>
        </w:rPr>
        <w:t>Vandervell</w:t>
      </w:r>
      <w:proofErr w:type="spellEnd"/>
      <w:r w:rsidRPr="005243CD">
        <w:rPr>
          <w:rFonts w:cs="Arial"/>
          <w:i/>
          <w:color w:val="201F1E"/>
          <w:szCs w:val="22"/>
          <w:bdr w:val="none" w:sz="0" w:space="0" w:color="auto" w:frame="1"/>
          <w:lang w:eastAsia="en-GB"/>
        </w:rPr>
        <w:t xml:space="preserve"> v IRC</w:t>
      </w:r>
      <w:r w:rsidRPr="005243CD">
        <w:rPr>
          <w:rFonts w:cs="Arial"/>
          <w:color w:val="201F1E"/>
          <w:szCs w:val="22"/>
          <w:bdr w:val="none" w:sz="0" w:space="0" w:color="auto" w:frame="1"/>
          <w:lang w:eastAsia="en-GB"/>
        </w:rPr>
        <w:t xml:space="preserve"> on para (</w:t>
      </w:r>
      <w:r w:rsidRPr="005243CD">
        <w:rPr>
          <w:rFonts w:cs="Arial"/>
          <w:i/>
          <w:color w:val="201F1E"/>
          <w:szCs w:val="22"/>
          <w:bdr w:val="none" w:sz="0" w:space="0" w:color="auto" w:frame="1"/>
          <w:lang w:eastAsia="en-GB"/>
        </w:rPr>
        <w:t>c</w:t>
      </w:r>
      <w:r w:rsidRPr="005243CD">
        <w:rPr>
          <w:rFonts w:cs="Arial"/>
          <w:color w:val="201F1E"/>
          <w:szCs w:val="22"/>
          <w:bdr w:val="none" w:sz="0" w:space="0" w:color="auto" w:frame="1"/>
          <w:lang w:eastAsia="en-GB"/>
        </w:rPr>
        <w:t xml:space="preserve">). Some candidates suggested that the provisions needed reform, but without indicating what the required reform ought to be. Stronger answers, on other hand, were </w:t>
      </w:r>
      <w:r w:rsidRPr="005243CD">
        <w:rPr>
          <w:rFonts w:cs="Arial"/>
          <w:color w:val="201F1E"/>
          <w:szCs w:val="22"/>
          <w:lang w:eastAsia="en-GB"/>
        </w:rPr>
        <w:t>sensitive to the differences between paras (</w:t>
      </w:r>
      <w:r w:rsidRPr="005243CD">
        <w:rPr>
          <w:rFonts w:cs="Arial"/>
          <w:i/>
          <w:color w:val="201F1E"/>
          <w:szCs w:val="22"/>
          <w:lang w:eastAsia="en-GB"/>
        </w:rPr>
        <w:t>b</w:t>
      </w:r>
      <w:r w:rsidRPr="005243CD">
        <w:rPr>
          <w:rFonts w:cs="Arial"/>
          <w:color w:val="201F1E"/>
          <w:szCs w:val="22"/>
          <w:lang w:eastAsia="en-GB"/>
        </w:rPr>
        <w:t>) and (</w:t>
      </w:r>
      <w:r w:rsidRPr="005243CD">
        <w:rPr>
          <w:rFonts w:cs="Arial"/>
          <w:i/>
          <w:color w:val="201F1E"/>
          <w:szCs w:val="22"/>
          <w:lang w:eastAsia="en-GB"/>
        </w:rPr>
        <w:t>c</w:t>
      </w:r>
      <w:r w:rsidRPr="005243CD">
        <w:rPr>
          <w:rFonts w:cs="Arial"/>
          <w:color w:val="201F1E"/>
          <w:szCs w:val="22"/>
          <w:lang w:eastAsia="en-GB"/>
        </w:rPr>
        <w:t xml:space="preserve">) and showed nuance in assessing the useful function(s) that they might have. Really excellent answers were able to combine the two </w:t>
      </w:r>
      <w:r w:rsidRPr="005243CD">
        <w:rPr>
          <w:rFonts w:cs="Arial"/>
          <w:color w:val="201F1E"/>
          <w:szCs w:val="22"/>
          <w:lang w:eastAsia="en-GB"/>
        </w:rPr>
        <w:lastRenderedPageBreak/>
        <w:t xml:space="preserve">and either defend the provisions in their current </w:t>
      </w:r>
      <w:proofErr w:type="gramStart"/>
      <w:r w:rsidRPr="005243CD">
        <w:rPr>
          <w:rFonts w:cs="Arial"/>
          <w:color w:val="201F1E"/>
          <w:szCs w:val="22"/>
          <w:lang w:eastAsia="en-GB"/>
        </w:rPr>
        <w:t>wording, or</w:t>
      </w:r>
      <w:proofErr w:type="gramEnd"/>
      <w:r w:rsidRPr="005243CD">
        <w:rPr>
          <w:rFonts w:cs="Arial"/>
          <w:color w:val="201F1E"/>
          <w:szCs w:val="22"/>
          <w:lang w:eastAsia="en-GB"/>
        </w:rPr>
        <w:t xml:space="preserve"> make appropriate proposals for repeal or reform. Most candidates, however, seemed extremely hesitant to recommend statutory reform, despite calls for repeal in the literature, </w:t>
      </w:r>
      <w:proofErr w:type="gramStart"/>
      <w:r w:rsidRPr="005243CD">
        <w:rPr>
          <w:rFonts w:cs="Arial"/>
          <w:color w:val="201F1E"/>
          <w:szCs w:val="22"/>
          <w:lang w:eastAsia="en-GB"/>
        </w:rPr>
        <w:t>e.g.</w:t>
      </w:r>
      <w:proofErr w:type="gramEnd"/>
      <w:r w:rsidRPr="005243CD">
        <w:rPr>
          <w:rFonts w:cs="Arial"/>
          <w:color w:val="201F1E"/>
          <w:szCs w:val="22"/>
          <w:lang w:eastAsia="en-GB"/>
        </w:rPr>
        <w:t xml:space="preserve"> from Elias and Gardner. </w:t>
      </w:r>
    </w:p>
    <w:p w14:paraId="5EEE2532" w14:textId="77777777"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 xml:space="preserve">Q6. (Public benefit in charity). Answered by very few candidates, and frequently the quotation from Lord Simmonds in </w:t>
      </w:r>
      <w:r w:rsidRPr="005243CD">
        <w:rPr>
          <w:rFonts w:cs="Arial"/>
          <w:i/>
          <w:color w:val="201F1E"/>
          <w:szCs w:val="22"/>
          <w:bdr w:val="none" w:sz="0" w:space="0" w:color="auto" w:frame="1"/>
          <w:lang w:eastAsia="en-GB"/>
        </w:rPr>
        <w:t>Oppenheim</w:t>
      </w:r>
      <w:r w:rsidRPr="005243CD">
        <w:rPr>
          <w:rFonts w:cs="Arial"/>
          <w:color w:val="201F1E"/>
          <w:szCs w:val="22"/>
          <w:bdr w:val="none" w:sz="0" w:space="0" w:color="auto" w:frame="1"/>
          <w:lang w:eastAsia="en-GB"/>
        </w:rPr>
        <w:t xml:space="preserve"> was simply ignored, and the question used as an opportunity for a general discussion of the 2011 Act. But there were also a small number of </w:t>
      </w:r>
      <w:r w:rsidRPr="005243CD">
        <w:rPr>
          <w:rFonts w:cs="Arial"/>
          <w:color w:val="201F1E"/>
          <w:szCs w:val="22"/>
          <w:lang w:eastAsia="en-GB"/>
        </w:rPr>
        <w:t>very strong answers to this question, showing excellent knowledge of the case law and understanding of the issues arising and their significance.</w:t>
      </w:r>
    </w:p>
    <w:p w14:paraId="6B43033E" w14:textId="77777777"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 xml:space="preserve">Q7. (Lord Neuberger quotation from </w:t>
      </w:r>
      <w:r w:rsidRPr="005243CD">
        <w:rPr>
          <w:rFonts w:cs="Arial"/>
          <w:i/>
          <w:color w:val="201F1E"/>
          <w:szCs w:val="22"/>
          <w:bdr w:val="none" w:sz="0" w:space="0" w:color="auto" w:frame="1"/>
          <w:lang w:eastAsia="en-GB"/>
        </w:rPr>
        <w:t>FHR</w:t>
      </w:r>
      <w:r w:rsidRPr="005243CD">
        <w:rPr>
          <w:rFonts w:cs="Arial"/>
          <w:color w:val="201F1E"/>
          <w:szCs w:val="22"/>
          <w:bdr w:val="none" w:sz="0" w:space="0" w:color="auto" w:frame="1"/>
          <w:lang w:eastAsia="en-GB"/>
        </w:rPr>
        <w:t>). Few candidates attempted this question, but there were some strong answers</w:t>
      </w:r>
      <w:r w:rsidRPr="005243CD">
        <w:rPr>
          <w:rFonts w:cs="Arial"/>
          <w:color w:val="201F1E"/>
          <w:szCs w:val="22"/>
          <w:lang w:eastAsia="en-GB"/>
        </w:rPr>
        <w:t xml:space="preserve"> examining the link between the basis for the remedy, and the remedy itself; and paying particularly impressive attention to the quotation given, and to its range and context. </w:t>
      </w:r>
    </w:p>
    <w:p w14:paraId="2A2CA6B4" w14:textId="64ECC780"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Q8. (Trustee investment decisions question). Answered by too few candidates for meaningful remarks to be made.</w:t>
      </w:r>
    </w:p>
    <w:p w14:paraId="4F8445B8" w14:textId="77777777"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Q9. (Backwards tracing question). Rather few takers, but generally competently done</w:t>
      </w:r>
      <w:r w:rsidRPr="005243CD">
        <w:rPr>
          <w:rFonts w:cs="Arial"/>
          <w:color w:val="201F1E"/>
          <w:szCs w:val="22"/>
          <w:lang w:eastAsia="en-GB"/>
        </w:rPr>
        <w:t>. Answers paid good attention to both parts of the question and showed careful attention to the case law as well as to the commentators. The strongest answers confronted the underlying justification for any kind of tracing and how far that might then justify backwards tracing.</w:t>
      </w:r>
    </w:p>
    <w:p w14:paraId="07BDEA5D" w14:textId="77777777" w:rsidR="005243CD" w:rsidRPr="005243CD" w:rsidRDefault="005243CD" w:rsidP="005243CD">
      <w:pPr>
        <w:textAlignment w:val="baseline"/>
        <w:rPr>
          <w:rFonts w:cs="Arial"/>
          <w:szCs w:val="22"/>
          <w:lang w:eastAsia="en-GB"/>
        </w:rPr>
      </w:pPr>
      <w:r w:rsidRPr="005243CD">
        <w:rPr>
          <w:rFonts w:cs="Arial"/>
          <w:color w:val="201F1E"/>
          <w:szCs w:val="22"/>
          <w:bdr w:val="none" w:sz="0" w:space="0" w:color="auto" w:frame="1"/>
          <w:lang w:eastAsia="en-GB"/>
        </w:rPr>
        <w:t xml:space="preserve">Q10. (Recipient and assistance liability question). Not answered by many candidates, and there were some poor answers which failed to address the focus of the question on the idea of ‘participation’. But there were also strong answers that </w:t>
      </w:r>
      <w:r w:rsidRPr="005243CD">
        <w:rPr>
          <w:rFonts w:cs="Arial"/>
          <w:color w:val="201F1E"/>
          <w:szCs w:val="22"/>
          <w:shd w:val="clear" w:color="auto" w:fill="FFFFFF"/>
          <w:lang w:eastAsia="en-GB"/>
        </w:rPr>
        <w:t>picked up on the idea of ‘participation’ and made serious attempts to assess the case law against it. Weaker answers relied too much on (unjustified) assertions about the nature of the liability, rather than arguing towards such justifications from a position of familiarity with the case law.</w:t>
      </w:r>
      <w:r w:rsidRPr="005243CD">
        <w:rPr>
          <w:rFonts w:cs="Arial"/>
          <w:color w:val="201F1E"/>
          <w:szCs w:val="22"/>
          <w:lang w:eastAsia="en-GB"/>
        </w:rPr>
        <w:br/>
      </w:r>
    </w:p>
    <w:p w14:paraId="1BD4B2FA" w14:textId="77777777"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 xml:space="preserve">Q11.  (Secret Trusts problem). </w:t>
      </w:r>
      <w:r w:rsidRPr="005243CD">
        <w:rPr>
          <w:rFonts w:cs="Arial"/>
          <w:color w:val="201F1E"/>
          <w:szCs w:val="22"/>
          <w:lang w:eastAsia="en-GB"/>
        </w:rPr>
        <w:t>There was a tendency for candidates not to realise that there was a preliminary point whether the trusts were fully or half secret, and those who did often seemed oddly unsure as to how to go about assessing the issue. </w:t>
      </w:r>
      <w:r w:rsidRPr="005243CD">
        <w:rPr>
          <w:rFonts w:cs="Arial"/>
          <w:i/>
          <w:color w:val="201F1E"/>
          <w:szCs w:val="22"/>
          <w:bdr w:val="none" w:sz="0" w:space="0" w:color="auto" w:frame="1"/>
          <w:lang w:eastAsia="en-GB"/>
        </w:rPr>
        <w:t>Re Gardner (No 2)</w:t>
      </w:r>
      <w:r w:rsidRPr="005243CD">
        <w:rPr>
          <w:rFonts w:cs="Arial"/>
          <w:color w:val="201F1E"/>
          <w:szCs w:val="22"/>
          <w:bdr w:val="none" w:sz="0" w:space="0" w:color="auto" w:frame="1"/>
          <w:lang w:eastAsia="en-GB"/>
        </w:rPr>
        <w:t xml:space="preserve"> point was only spotted by some candidates, as was the floating trust issue. The s 53(1)(</w:t>
      </w:r>
      <w:r w:rsidRPr="005243CD">
        <w:rPr>
          <w:rFonts w:cs="Arial"/>
          <w:i/>
          <w:color w:val="201F1E"/>
          <w:szCs w:val="22"/>
          <w:bdr w:val="none" w:sz="0" w:space="0" w:color="auto" w:frame="1"/>
          <w:lang w:eastAsia="en-GB"/>
        </w:rPr>
        <w:t>b</w:t>
      </w:r>
      <w:r w:rsidRPr="005243CD">
        <w:rPr>
          <w:rFonts w:cs="Arial"/>
          <w:color w:val="201F1E"/>
          <w:szCs w:val="22"/>
          <w:bdr w:val="none" w:sz="0" w:space="0" w:color="auto" w:frame="1"/>
          <w:lang w:eastAsia="en-GB"/>
        </w:rPr>
        <w:t xml:space="preserve">) point was also frequently missed, and those who spotted the </w:t>
      </w:r>
      <w:r w:rsidRPr="005243CD">
        <w:rPr>
          <w:rFonts w:cs="Arial"/>
          <w:i/>
          <w:color w:val="201F1E"/>
          <w:szCs w:val="22"/>
          <w:bdr w:val="none" w:sz="0" w:space="0" w:color="auto" w:frame="1"/>
          <w:lang w:eastAsia="en-GB"/>
        </w:rPr>
        <w:t>Re Keen</w:t>
      </w:r>
      <w:r w:rsidRPr="005243CD">
        <w:rPr>
          <w:rFonts w:cs="Arial"/>
          <w:color w:val="201F1E"/>
          <w:szCs w:val="22"/>
          <w:bdr w:val="none" w:sz="0" w:space="0" w:color="auto" w:frame="1"/>
          <w:lang w:eastAsia="en-GB"/>
        </w:rPr>
        <w:t xml:space="preserve"> issue hardly ever offered any criticism of that decision. Candidates ought to be</w:t>
      </w:r>
      <w:r w:rsidRPr="005243CD">
        <w:rPr>
          <w:rFonts w:cs="Arial"/>
          <w:color w:val="201F1E"/>
          <w:szCs w:val="22"/>
          <w:lang w:eastAsia="en-GB"/>
        </w:rPr>
        <w:t xml:space="preserve"> encouraged to set out the arguments they would present to the Supreme Court, rather than assuming that they are bound for all time by an obiter HL comment and the second ground of a CA decision. The </w:t>
      </w:r>
      <w:r w:rsidRPr="005243CD">
        <w:rPr>
          <w:rFonts w:cs="Arial"/>
          <w:i/>
          <w:iCs/>
          <w:color w:val="201F1E"/>
          <w:szCs w:val="22"/>
          <w:lang w:eastAsia="en-GB"/>
        </w:rPr>
        <w:t>Snowden</w:t>
      </w:r>
      <w:r w:rsidRPr="005243CD">
        <w:rPr>
          <w:rFonts w:cs="Arial"/>
          <w:color w:val="201F1E"/>
          <w:szCs w:val="22"/>
          <w:bdr w:val="none" w:sz="0" w:space="0" w:color="auto" w:frame="1"/>
          <w:lang w:eastAsia="en-GB"/>
        </w:rPr>
        <w:t> point was generally spotted by candidates, but again most were not confident about discussing/applying/criticising it.</w:t>
      </w:r>
    </w:p>
    <w:p w14:paraId="1E1F7779" w14:textId="77777777" w:rsidR="005243CD" w:rsidRPr="005243CD" w:rsidRDefault="005243CD" w:rsidP="005243CD">
      <w:pPr>
        <w:textAlignment w:val="baseline"/>
        <w:rPr>
          <w:rFonts w:cs="Arial"/>
          <w:szCs w:val="22"/>
          <w:lang w:eastAsia="en-GB"/>
        </w:rPr>
      </w:pPr>
      <w:r w:rsidRPr="005243CD">
        <w:rPr>
          <w:rFonts w:cs="Arial"/>
          <w:color w:val="201F1E"/>
          <w:szCs w:val="22"/>
          <w:bdr w:val="none" w:sz="0" w:space="0" w:color="auto" w:frame="1"/>
          <w:lang w:eastAsia="en-GB"/>
        </w:rPr>
        <w:t>Q12. (</w:t>
      </w:r>
      <w:proofErr w:type="gramStart"/>
      <w:r w:rsidRPr="005243CD">
        <w:rPr>
          <w:rFonts w:cs="Arial"/>
          <w:color w:val="201F1E"/>
          <w:szCs w:val="22"/>
          <w:bdr w:val="none" w:sz="0" w:space="0" w:color="auto" w:frame="1"/>
          <w:lang w:eastAsia="en-GB"/>
        </w:rPr>
        <w:t>Objects</w:t>
      </w:r>
      <w:proofErr w:type="gramEnd"/>
      <w:r w:rsidRPr="005243CD">
        <w:rPr>
          <w:rFonts w:cs="Arial"/>
          <w:color w:val="201F1E"/>
          <w:szCs w:val="22"/>
          <w:bdr w:val="none" w:sz="0" w:space="0" w:color="auto" w:frame="1"/>
          <w:lang w:eastAsia="en-GB"/>
        </w:rPr>
        <w:t xml:space="preserve"> problem). By far the most popular of any </w:t>
      </w:r>
      <w:proofErr w:type="gramStart"/>
      <w:r w:rsidRPr="005243CD">
        <w:rPr>
          <w:rFonts w:cs="Arial"/>
          <w:color w:val="201F1E"/>
          <w:szCs w:val="22"/>
          <w:bdr w:val="none" w:sz="0" w:space="0" w:color="auto" w:frame="1"/>
          <w:lang w:eastAsia="en-GB"/>
        </w:rPr>
        <w:t>question, and</w:t>
      </w:r>
      <w:proofErr w:type="gramEnd"/>
      <w:r w:rsidRPr="005243CD">
        <w:rPr>
          <w:rFonts w:cs="Arial"/>
          <w:color w:val="201F1E"/>
          <w:szCs w:val="22"/>
          <w:bdr w:val="none" w:sz="0" w:space="0" w:color="auto" w:frame="1"/>
          <w:lang w:eastAsia="en-GB"/>
        </w:rPr>
        <w:t xml:space="preserve"> done by almost all candidates. There were strong answers, but too many candidates demonstrated poor knowledge of </w:t>
      </w:r>
      <w:r w:rsidRPr="005243CD">
        <w:rPr>
          <w:rFonts w:cs="Arial"/>
          <w:i/>
          <w:color w:val="201F1E"/>
          <w:szCs w:val="22"/>
          <w:bdr w:val="none" w:sz="0" w:space="0" w:color="auto" w:frame="1"/>
          <w:lang w:eastAsia="en-GB"/>
        </w:rPr>
        <w:t>Re Baden (No 2)</w:t>
      </w:r>
      <w:r w:rsidRPr="005243CD">
        <w:rPr>
          <w:rFonts w:cs="Arial"/>
          <w:color w:val="201F1E"/>
          <w:szCs w:val="22"/>
          <w:bdr w:val="none" w:sz="0" w:space="0" w:color="auto" w:frame="1"/>
          <w:lang w:eastAsia="en-GB"/>
        </w:rPr>
        <w:t xml:space="preserve">, with answers, for example, asserting that Sachs LJ had there laid down the ‘one person’ test. Even when correct tests were identified, they were often poorly (or not at all) </w:t>
      </w:r>
      <w:r w:rsidRPr="005243CD">
        <w:rPr>
          <w:rFonts w:cs="Arial"/>
          <w:i/>
          <w:color w:val="201F1E"/>
          <w:szCs w:val="22"/>
          <w:bdr w:val="none" w:sz="0" w:space="0" w:color="auto" w:frame="1"/>
          <w:lang w:eastAsia="en-GB"/>
        </w:rPr>
        <w:t xml:space="preserve">applied </w:t>
      </w:r>
      <w:r w:rsidRPr="005243CD">
        <w:rPr>
          <w:rFonts w:cs="Arial"/>
          <w:color w:val="201F1E"/>
          <w:szCs w:val="22"/>
          <w:bdr w:val="none" w:sz="0" w:space="0" w:color="auto" w:frame="1"/>
          <w:lang w:eastAsia="en-GB"/>
        </w:rPr>
        <w:t xml:space="preserve">to the facts of the problem set. Similar errors were made when </w:t>
      </w:r>
      <w:r w:rsidRPr="005243CD">
        <w:rPr>
          <w:rFonts w:cs="Arial"/>
          <w:i/>
          <w:color w:val="201F1E"/>
          <w:szCs w:val="22"/>
          <w:bdr w:val="none" w:sz="0" w:space="0" w:color="auto" w:frame="1"/>
          <w:lang w:eastAsia="en-GB"/>
        </w:rPr>
        <w:t xml:space="preserve">Re Barlow </w:t>
      </w:r>
      <w:r w:rsidRPr="005243CD">
        <w:rPr>
          <w:rFonts w:cs="Arial"/>
          <w:color w:val="201F1E"/>
          <w:szCs w:val="22"/>
          <w:bdr w:val="none" w:sz="0" w:space="0" w:color="auto" w:frame="1"/>
          <w:lang w:eastAsia="en-GB"/>
        </w:rPr>
        <w:t xml:space="preserve">was considered, which many candidates seemed to regard as a solution to far too many difficulties. Similarly, the </w:t>
      </w:r>
      <w:r w:rsidRPr="005243CD">
        <w:rPr>
          <w:rFonts w:cs="Arial"/>
          <w:i/>
          <w:color w:val="201F1E"/>
          <w:szCs w:val="22"/>
          <w:bdr w:val="none" w:sz="0" w:space="0" w:color="auto" w:frame="1"/>
          <w:lang w:eastAsia="en-GB"/>
        </w:rPr>
        <w:lastRenderedPageBreak/>
        <w:t>Re Tuck</w:t>
      </w:r>
      <w:r w:rsidRPr="005243CD">
        <w:rPr>
          <w:rFonts w:cs="Arial"/>
          <w:color w:val="201F1E"/>
          <w:szCs w:val="22"/>
          <w:bdr w:val="none" w:sz="0" w:space="0" w:color="auto" w:frame="1"/>
          <w:lang w:eastAsia="en-GB"/>
        </w:rPr>
        <w:t xml:space="preserve"> point was sometimes dealt with well, but also sometimes badly, with candidates referring only to the Denning judgment, and to no other authority or point of view; nor was it seen as at all controversial by many candidates. </w:t>
      </w:r>
      <w:r w:rsidRPr="005243CD">
        <w:rPr>
          <w:rFonts w:cs="Arial"/>
          <w:szCs w:val="22"/>
          <w:lang w:eastAsia="en-GB"/>
        </w:rPr>
        <w:t xml:space="preserve">When it was dealt with well, candidates provided accurate and discerning consideration and application of the </w:t>
      </w:r>
      <w:r w:rsidRPr="005243CD">
        <w:rPr>
          <w:rFonts w:cs="Arial"/>
          <w:i/>
          <w:szCs w:val="22"/>
          <w:lang w:eastAsia="en-GB"/>
        </w:rPr>
        <w:t>obiter dicta</w:t>
      </w:r>
      <w:r w:rsidRPr="005243CD">
        <w:rPr>
          <w:rFonts w:cs="Arial"/>
          <w:szCs w:val="22"/>
          <w:lang w:eastAsia="en-GB"/>
        </w:rPr>
        <w:t xml:space="preserve"> in </w:t>
      </w:r>
      <w:r w:rsidRPr="005243CD">
        <w:rPr>
          <w:rFonts w:cs="Arial"/>
          <w:i/>
          <w:iCs/>
          <w:szCs w:val="22"/>
          <w:lang w:eastAsia="en-GB"/>
        </w:rPr>
        <w:t xml:space="preserve">Re </w:t>
      </w:r>
      <w:proofErr w:type="gramStart"/>
      <w:r w:rsidRPr="005243CD">
        <w:rPr>
          <w:rFonts w:cs="Arial"/>
          <w:i/>
          <w:iCs/>
          <w:szCs w:val="22"/>
          <w:lang w:eastAsia="en-GB"/>
        </w:rPr>
        <w:t>Tuck</w:t>
      </w:r>
      <w:r w:rsidRPr="005243CD">
        <w:rPr>
          <w:rFonts w:cs="Arial"/>
          <w:szCs w:val="22"/>
          <w:lang w:eastAsia="en-GB"/>
        </w:rPr>
        <w:t>, and</w:t>
      </w:r>
      <w:proofErr w:type="gramEnd"/>
      <w:r w:rsidRPr="005243CD">
        <w:rPr>
          <w:rFonts w:cs="Arial"/>
          <w:szCs w:val="22"/>
          <w:lang w:eastAsia="en-GB"/>
        </w:rPr>
        <w:t xml:space="preserve"> related their discussion to other cases such as </w:t>
      </w:r>
      <w:r w:rsidRPr="005243CD">
        <w:rPr>
          <w:rFonts w:cs="Arial"/>
          <w:i/>
          <w:iCs/>
          <w:szCs w:val="22"/>
          <w:lang w:eastAsia="en-GB"/>
        </w:rPr>
        <w:t>Dundee Hospitals - </w:t>
      </w:r>
      <w:r w:rsidRPr="005243CD">
        <w:rPr>
          <w:rFonts w:cs="Arial"/>
          <w:szCs w:val="22"/>
          <w:lang w:eastAsia="en-GB"/>
        </w:rPr>
        <w:t>and, importantly, to the interpretation of what Kate had actually written on the facts of the problem.</w:t>
      </w:r>
    </w:p>
    <w:p w14:paraId="38372304" w14:textId="77777777" w:rsidR="005243CD" w:rsidRPr="005243CD" w:rsidRDefault="005243CD" w:rsidP="005243CD">
      <w:pPr>
        <w:textAlignment w:val="baseline"/>
        <w:rPr>
          <w:rFonts w:cs="Arial"/>
          <w:color w:val="201F1E"/>
          <w:szCs w:val="22"/>
          <w:lang w:eastAsia="en-GB"/>
        </w:rPr>
      </w:pPr>
      <w:r w:rsidRPr="005243CD">
        <w:rPr>
          <w:rFonts w:cs="Arial"/>
          <w:color w:val="201F1E"/>
          <w:szCs w:val="22"/>
          <w:bdr w:val="none" w:sz="0" w:space="0" w:color="auto" w:frame="1"/>
          <w:lang w:eastAsia="en-GB"/>
        </w:rPr>
        <w:t>Many wasted valuable time discussing certainty of intention when clearly this was not an issue on the facts.</w:t>
      </w:r>
      <w:r w:rsidRPr="005243CD">
        <w:rPr>
          <w:rFonts w:cs="Arial"/>
          <w:color w:val="201F1E"/>
          <w:szCs w:val="22"/>
          <w:lang w:eastAsia="en-GB"/>
        </w:rPr>
        <w:t xml:space="preserve"> There was a general </w:t>
      </w:r>
      <w:r w:rsidRPr="005243CD">
        <w:rPr>
          <w:rFonts w:cs="Arial"/>
          <w:szCs w:val="22"/>
          <w:lang w:eastAsia="en-GB"/>
        </w:rPr>
        <w:t xml:space="preserve">failure to distinguish between </w:t>
      </w:r>
      <w:r w:rsidRPr="005243CD">
        <w:rPr>
          <w:rFonts w:cs="Arial"/>
          <w:i/>
          <w:szCs w:val="22"/>
          <w:lang w:eastAsia="en-GB"/>
        </w:rPr>
        <w:t>different</w:t>
      </w:r>
      <w:r w:rsidRPr="005243CD">
        <w:rPr>
          <w:rFonts w:cs="Arial"/>
          <w:szCs w:val="22"/>
          <w:lang w:eastAsia="en-GB"/>
        </w:rPr>
        <w:t xml:space="preserve"> arrangements (fixed trusts, discretionary trusts, powers of appointment, conditions precedent) in examining issues of conceptual and evidential certainty, as if conceptual certainty </w:t>
      </w:r>
      <w:proofErr w:type="gramStart"/>
      <w:r w:rsidRPr="005243CD">
        <w:rPr>
          <w:rFonts w:cs="Arial"/>
          <w:szCs w:val="22"/>
          <w:lang w:eastAsia="en-GB"/>
        </w:rPr>
        <w:t>in particular were</w:t>
      </w:r>
      <w:proofErr w:type="gramEnd"/>
      <w:r w:rsidRPr="005243CD">
        <w:rPr>
          <w:rFonts w:cs="Arial"/>
          <w:szCs w:val="22"/>
          <w:lang w:eastAsia="en-GB"/>
        </w:rPr>
        <w:t xml:space="preserve"> a fixed rule with no variance according to the legal structure the testator had actually attempted to establish. It seemed that many candidates either did not appreciate the differences between those </w:t>
      </w:r>
      <w:proofErr w:type="gramStart"/>
      <w:r w:rsidRPr="005243CD">
        <w:rPr>
          <w:rFonts w:cs="Arial"/>
          <w:szCs w:val="22"/>
          <w:lang w:eastAsia="en-GB"/>
        </w:rPr>
        <w:t>possibilities, or</w:t>
      </w:r>
      <w:proofErr w:type="gramEnd"/>
      <w:r w:rsidRPr="005243CD">
        <w:rPr>
          <w:rFonts w:cs="Arial"/>
          <w:szCs w:val="22"/>
          <w:lang w:eastAsia="en-GB"/>
        </w:rPr>
        <w:t xml:space="preserve"> did not realise the connection to the certainty of objects discussion.</w:t>
      </w:r>
    </w:p>
    <w:p w14:paraId="6239FBE9" w14:textId="77777777" w:rsidR="005243CD" w:rsidRPr="005243CD" w:rsidRDefault="005243CD" w:rsidP="005243CD">
      <w:pPr>
        <w:textAlignment w:val="baseline"/>
        <w:rPr>
          <w:rFonts w:cs="Arial"/>
          <w:szCs w:val="22"/>
          <w:lang w:eastAsia="en-GB"/>
        </w:rPr>
      </w:pPr>
      <w:r w:rsidRPr="005243CD">
        <w:rPr>
          <w:rFonts w:cs="Arial"/>
          <w:szCs w:val="22"/>
          <w:bdr w:val="none" w:sz="0" w:space="0" w:color="auto" w:frame="1"/>
          <w:lang w:eastAsia="en-GB"/>
        </w:rPr>
        <w:t>Q13. (Unincorporated association problem). Answered by relatively few candidates.</w:t>
      </w:r>
      <w:r w:rsidRPr="005243CD">
        <w:rPr>
          <w:rFonts w:cs="Arial"/>
          <w:szCs w:val="22"/>
          <w:lang w:eastAsia="en-GB"/>
        </w:rPr>
        <w:t xml:space="preserve"> There was generally good focus on the question of what to do with the assets, but too ready an assumption that ‘contract-holding’ should apply to everything, whatever the circumstances, leading candidates to miss opportunities to analyse different approaches and to assess the reasoning in the cases in the face of particular facts, and to demonstrate appreciation of other possibilities (including </w:t>
      </w:r>
      <w:r w:rsidRPr="005243CD">
        <w:rPr>
          <w:rFonts w:cs="Arial"/>
          <w:i/>
          <w:szCs w:val="22"/>
          <w:lang w:eastAsia="en-GB"/>
        </w:rPr>
        <w:t>bona vacantia</w:t>
      </w:r>
      <w:r w:rsidRPr="005243CD">
        <w:rPr>
          <w:rFonts w:cs="Arial"/>
          <w:szCs w:val="22"/>
          <w:lang w:eastAsia="en-GB"/>
        </w:rPr>
        <w:t>) which would doubtless be argued on the facts of the problem set. The majority needed to re-read </w:t>
      </w:r>
      <w:r w:rsidRPr="005243CD">
        <w:rPr>
          <w:rFonts w:cs="Arial"/>
          <w:i/>
          <w:szCs w:val="22"/>
          <w:lang w:eastAsia="en-GB"/>
        </w:rPr>
        <w:t xml:space="preserve">Re </w:t>
      </w:r>
      <w:r w:rsidRPr="005243CD">
        <w:rPr>
          <w:rFonts w:cs="Arial"/>
          <w:i/>
          <w:iCs/>
          <w:szCs w:val="22"/>
          <w:lang w:eastAsia="en-GB"/>
        </w:rPr>
        <w:t>West Sussex</w:t>
      </w:r>
      <w:r w:rsidRPr="005243CD">
        <w:rPr>
          <w:rFonts w:cs="Arial"/>
          <w:iCs/>
          <w:szCs w:val="22"/>
          <w:lang w:eastAsia="en-GB"/>
        </w:rPr>
        <w:t xml:space="preserve">, and to appreciate </w:t>
      </w:r>
      <w:r w:rsidRPr="005243CD">
        <w:rPr>
          <w:rFonts w:cs="Arial"/>
          <w:szCs w:val="22"/>
          <w:bdr w:val="none" w:sz="0" w:space="0" w:color="auto" w:frame="1"/>
          <w:lang w:eastAsia="en-GB"/>
        </w:rPr>
        <w:t xml:space="preserve">the tension between the reasoning of Goff J in that case and Walton J in </w:t>
      </w:r>
      <w:r w:rsidRPr="005243CD">
        <w:rPr>
          <w:rFonts w:cs="Arial"/>
          <w:i/>
          <w:szCs w:val="22"/>
          <w:bdr w:val="none" w:sz="0" w:space="0" w:color="auto" w:frame="1"/>
          <w:lang w:eastAsia="en-GB"/>
        </w:rPr>
        <w:t>Re Bucks</w:t>
      </w:r>
      <w:r w:rsidRPr="005243CD">
        <w:rPr>
          <w:rFonts w:cs="Arial"/>
          <w:szCs w:val="22"/>
          <w:bdr w:val="none" w:sz="0" w:space="0" w:color="auto" w:frame="1"/>
          <w:lang w:eastAsia="en-GB"/>
        </w:rPr>
        <w:t xml:space="preserve">. Too few candidates referred to the </w:t>
      </w:r>
      <w:proofErr w:type="spellStart"/>
      <w:r w:rsidRPr="005243CD">
        <w:rPr>
          <w:rFonts w:cs="Arial"/>
          <w:i/>
          <w:szCs w:val="22"/>
          <w:bdr w:val="none" w:sz="0" w:space="0" w:color="auto" w:frame="1"/>
          <w:lang w:eastAsia="en-GB"/>
        </w:rPr>
        <w:t>Hanchett</w:t>
      </w:r>
      <w:proofErr w:type="spellEnd"/>
      <w:r w:rsidRPr="005243CD">
        <w:rPr>
          <w:rFonts w:cs="Arial"/>
          <w:i/>
          <w:szCs w:val="22"/>
          <w:bdr w:val="none" w:sz="0" w:space="0" w:color="auto" w:frame="1"/>
          <w:lang w:eastAsia="en-GB"/>
        </w:rPr>
        <w:t>-Stamford</w:t>
      </w:r>
      <w:r w:rsidRPr="005243CD">
        <w:rPr>
          <w:rFonts w:cs="Arial"/>
          <w:szCs w:val="22"/>
          <w:bdr w:val="none" w:sz="0" w:space="0" w:color="auto" w:frame="1"/>
          <w:lang w:eastAsia="en-GB"/>
        </w:rPr>
        <w:t xml:space="preserve"> case.</w:t>
      </w:r>
    </w:p>
    <w:p w14:paraId="461605D4" w14:textId="77777777" w:rsidR="005243CD" w:rsidRPr="005243CD" w:rsidRDefault="005243CD" w:rsidP="005243CD">
      <w:pPr>
        <w:textAlignment w:val="baseline"/>
        <w:rPr>
          <w:rFonts w:cs="Arial"/>
          <w:szCs w:val="22"/>
          <w:lang w:eastAsia="en-GB"/>
        </w:rPr>
      </w:pPr>
      <w:r w:rsidRPr="005243CD">
        <w:rPr>
          <w:rFonts w:cs="Arial"/>
          <w:szCs w:val="22"/>
          <w:bdr w:val="none" w:sz="0" w:space="0" w:color="auto" w:frame="1"/>
          <w:lang w:eastAsia="en-GB"/>
        </w:rPr>
        <w:t xml:space="preserve">Q14. (Breach of trust problem). Answered by very few candidates, and </w:t>
      </w:r>
      <w:r w:rsidRPr="005243CD">
        <w:rPr>
          <w:rFonts w:cs="Arial"/>
          <w:i/>
          <w:szCs w:val="22"/>
          <w:bdr w:val="none" w:sz="0" w:space="0" w:color="auto" w:frame="1"/>
          <w:lang w:eastAsia="en-GB"/>
        </w:rPr>
        <w:t>AIB</w:t>
      </w:r>
      <w:r w:rsidRPr="005243CD">
        <w:rPr>
          <w:rFonts w:cs="Arial"/>
          <w:szCs w:val="22"/>
          <w:bdr w:val="none" w:sz="0" w:space="0" w:color="auto" w:frame="1"/>
          <w:lang w:eastAsia="en-GB"/>
        </w:rPr>
        <w:t xml:space="preserve"> issues frequently overlooked entirely. Even when </w:t>
      </w:r>
      <w:r w:rsidRPr="005243CD">
        <w:rPr>
          <w:rFonts w:cs="Arial"/>
          <w:i/>
          <w:szCs w:val="22"/>
          <w:bdr w:val="none" w:sz="0" w:space="0" w:color="auto" w:frame="1"/>
          <w:lang w:eastAsia="en-GB"/>
        </w:rPr>
        <w:t>AIB</w:t>
      </w:r>
      <w:r w:rsidRPr="005243CD">
        <w:rPr>
          <w:rFonts w:cs="Arial"/>
          <w:szCs w:val="22"/>
          <w:bdr w:val="none" w:sz="0" w:space="0" w:color="auto" w:frame="1"/>
          <w:lang w:eastAsia="en-GB"/>
        </w:rPr>
        <w:t xml:space="preserve"> was discussed, there was little careful criticism offered. No credit was given for discussion of proprietary claims and tracing: the question was explicitly about personal liability.</w:t>
      </w:r>
      <w:r w:rsidRPr="005243CD">
        <w:rPr>
          <w:rFonts w:cs="Arial"/>
          <w:szCs w:val="22"/>
          <w:lang w:eastAsia="en-GB"/>
        </w:rPr>
        <w:t xml:space="preserve"> A small number of candidates were able to discuss the relevant statutory provisions as well, in a way that leads to a united discussion with the case </w:t>
      </w:r>
      <w:proofErr w:type="gramStart"/>
      <w:r w:rsidRPr="005243CD">
        <w:rPr>
          <w:rFonts w:cs="Arial"/>
          <w:szCs w:val="22"/>
          <w:lang w:eastAsia="en-GB"/>
        </w:rPr>
        <w:t>law;</w:t>
      </w:r>
      <w:proofErr w:type="gramEnd"/>
      <w:r w:rsidRPr="005243CD">
        <w:rPr>
          <w:rFonts w:cs="Arial"/>
          <w:szCs w:val="22"/>
          <w:lang w:eastAsia="en-GB"/>
        </w:rPr>
        <w:t xml:space="preserve"> which would be else a missed opportunity.</w:t>
      </w:r>
    </w:p>
    <w:p w14:paraId="0B83CEAE" w14:textId="55EA8090" w:rsidR="002C08FC" w:rsidRPr="005243CD" w:rsidRDefault="002C08FC" w:rsidP="002C08FC">
      <w:pPr>
        <w:spacing w:after="0"/>
        <w:rPr>
          <w:rStyle w:val="Ref"/>
          <w:rFonts w:eastAsia="Calibri"/>
          <w:b/>
          <w:bCs/>
          <w:color w:val="000000"/>
          <w:szCs w:val="23"/>
        </w:rPr>
      </w:pPr>
    </w:p>
    <w:p w14:paraId="2537DA6A" w14:textId="218777B4" w:rsidR="00373251" w:rsidRDefault="00373251" w:rsidP="00131FDC">
      <w:pPr>
        <w:spacing w:after="0"/>
        <w:rPr>
          <w:rStyle w:val="Ref"/>
          <w:rFonts w:eastAsia="Calibri"/>
          <w:b/>
          <w:bCs/>
          <w:caps/>
          <w:color w:val="000000"/>
          <w:szCs w:val="23"/>
        </w:rPr>
      </w:pPr>
    </w:p>
    <w:p w14:paraId="155F6442" w14:textId="77777777" w:rsidR="000D0782" w:rsidRPr="004256D6" w:rsidRDefault="000D0782" w:rsidP="00131FDC">
      <w:pPr>
        <w:spacing w:after="0"/>
        <w:rPr>
          <w:rStyle w:val="Ref"/>
          <w:rFonts w:eastAsia="Calibri"/>
          <w:b/>
          <w:bCs/>
          <w:color w:val="000000"/>
          <w:szCs w:val="23"/>
        </w:rPr>
      </w:pPr>
    </w:p>
    <w:p w14:paraId="2A83B497" w14:textId="77777777" w:rsidR="00511E38" w:rsidRDefault="00131FDC" w:rsidP="00511E38">
      <w:pPr>
        <w:rPr>
          <w:rStyle w:val="Ref"/>
          <w:rFonts w:eastAsia="Calibri"/>
          <w:b/>
          <w:color w:val="000000"/>
          <w:szCs w:val="23"/>
        </w:rPr>
      </w:pPr>
      <w:r w:rsidRPr="004256D6">
        <w:rPr>
          <w:rStyle w:val="Ref"/>
          <w:rFonts w:eastAsia="Calibri"/>
          <w:b/>
          <w:color w:val="000000"/>
          <w:szCs w:val="23"/>
        </w:rPr>
        <w:t>F.</w:t>
      </w:r>
      <w:r w:rsidRPr="004256D6">
        <w:rPr>
          <w:rStyle w:val="Ref"/>
          <w:rFonts w:eastAsia="Calibri"/>
          <w:b/>
          <w:color w:val="000000"/>
          <w:szCs w:val="23"/>
        </w:rPr>
        <w:tab/>
        <w:t>NAMES OF MEMBERS OF THE BOARD OF EXAMINERS</w:t>
      </w:r>
    </w:p>
    <w:p w14:paraId="777581E5" w14:textId="330E4FD6" w:rsidR="00DD0ED1" w:rsidRPr="00DD0ED1" w:rsidRDefault="00DD0ED1" w:rsidP="00DD0ED1">
      <w:pPr>
        <w:spacing w:after="160" w:line="256" w:lineRule="auto"/>
        <w:rPr>
          <w:rFonts w:cs="Arial"/>
          <w:szCs w:val="22"/>
        </w:rPr>
      </w:pPr>
      <w:r w:rsidRPr="00DD0ED1">
        <w:rPr>
          <w:rFonts w:cs="Arial"/>
          <w:szCs w:val="22"/>
        </w:rPr>
        <w:t>Dr S Douglas (Chair)</w:t>
      </w:r>
      <w:r w:rsidRPr="00DD0ED1">
        <w:rPr>
          <w:rFonts w:cs="Arial"/>
          <w:szCs w:val="22"/>
        </w:rPr>
        <w:br/>
        <w:t>Dr I Goold</w:t>
      </w:r>
      <w:r w:rsidRPr="00DD0ED1">
        <w:rPr>
          <w:rFonts w:cs="Arial"/>
          <w:szCs w:val="22"/>
        </w:rPr>
        <w:br/>
        <w:t>Prof J Goudkamp</w:t>
      </w:r>
      <w:r w:rsidRPr="00DD0ED1">
        <w:rPr>
          <w:rFonts w:cs="Arial"/>
          <w:szCs w:val="22"/>
        </w:rPr>
        <w:br/>
        <w:t xml:space="preserve">Prof B </w:t>
      </w:r>
      <w:proofErr w:type="spellStart"/>
      <w:r w:rsidRPr="00DD0ED1">
        <w:rPr>
          <w:rFonts w:cs="Arial"/>
          <w:szCs w:val="22"/>
        </w:rPr>
        <w:t>H</w:t>
      </w:r>
      <w:r w:rsidR="00CF3D56">
        <w:rPr>
          <w:rFonts w:cs="Arial"/>
          <w:szCs w:val="22"/>
        </w:rPr>
        <w:t>ä</w:t>
      </w:r>
      <w:r w:rsidRPr="00DD0ED1">
        <w:rPr>
          <w:rFonts w:cs="Arial"/>
          <w:szCs w:val="22"/>
        </w:rPr>
        <w:t>cker</w:t>
      </w:r>
      <w:proofErr w:type="spellEnd"/>
      <w:r w:rsidRPr="00DD0ED1">
        <w:rPr>
          <w:rFonts w:cs="Arial"/>
          <w:szCs w:val="22"/>
        </w:rPr>
        <w:br/>
        <w:t>Mr J Lee (External)</w:t>
      </w:r>
      <w:r w:rsidRPr="00DD0ED1">
        <w:rPr>
          <w:rFonts w:cs="Arial"/>
          <w:szCs w:val="22"/>
        </w:rPr>
        <w:br/>
      </w:r>
      <w:r w:rsidRPr="00DD0ED1">
        <w:rPr>
          <w:rFonts w:cs="Arial"/>
          <w:szCs w:val="22"/>
        </w:rPr>
        <w:lastRenderedPageBreak/>
        <w:t>Prof B McFarlane</w:t>
      </w:r>
      <w:r w:rsidRPr="00DD0ED1">
        <w:rPr>
          <w:rFonts w:cs="Arial"/>
          <w:szCs w:val="22"/>
        </w:rPr>
        <w:br/>
        <w:t>Prof G Phillipson (External)</w:t>
      </w:r>
      <w:r w:rsidRPr="00DD0ED1">
        <w:rPr>
          <w:rFonts w:cs="Arial"/>
          <w:szCs w:val="22"/>
        </w:rPr>
        <w:br/>
        <w:t>Dr R Taylor</w:t>
      </w:r>
      <w:r w:rsidRPr="00DD0ED1">
        <w:rPr>
          <w:rFonts w:cs="Arial"/>
          <w:szCs w:val="22"/>
        </w:rPr>
        <w:br/>
        <w:t>Dr A Tzanakopoulos</w:t>
      </w:r>
      <w:r w:rsidRPr="00DD0ED1">
        <w:rPr>
          <w:rFonts w:cs="Arial"/>
          <w:szCs w:val="22"/>
        </w:rPr>
        <w:br/>
        <w:t>Prof R Williams</w:t>
      </w:r>
    </w:p>
    <w:p w14:paraId="56B9D679" w14:textId="266BAD51" w:rsidR="004256D6" w:rsidRPr="0087400E" w:rsidRDefault="004256D6" w:rsidP="00C11C8B">
      <w:pPr>
        <w:rPr>
          <w:rFonts w:eastAsia="Calibri" w:cs="Arial"/>
          <w:szCs w:val="22"/>
        </w:rPr>
      </w:pPr>
    </w:p>
    <w:sectPr w:rsidR="004256D6" w:rsidRPr="0087400E" w:rsidSect="00FF7003">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22C24" w14:textId="77777777" w:rsidR="000629CF" w:rsidRDefault="000629CF" w:rsidP="00AE2646">
      <w:pPr>
        <w:spacing w:after="0"/>
      </w:pPr>
      <w:r>
        <w:separator/>
      </w:r>
    </w:p>
  </w:endnote>
  <w:endnote w:type="continuationSeparator" w:id="0">
    <w:p w14:paraId="7C7C28A9" w14:textId="77777777" w:rsidR="000629CF" w:rsidRDefault="000629CF" w:rsidP="00AE26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hrist Churc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578964"/>
      <w:docPartObj>
        <w:docPartGallery w:val="Page Numbers (Bottom of Page)"/>
        <w:docPartUnique/>
      </w:docPartObj>
    </w:sdtPr>
    <w:sdtEndPr/>
    <w:sdtContent>
      <w:sdt>
        <w:sdtPr>
          <w:id w:val="-552697450"/>
          <w:docPartObj>
            <w:docPartGallery w:val="Page Numbers (Top of Page)"/>
            <w:docPartUnique/>
          </w:docPartObj>
        </w:sdtPr>
        <w:sdtEndPr/>
        <w:sdtContent>
          <w:p w14:paraId="5B05F8F1" w14:textId="77777777" w:rsidR="000629CF" w:rsidRDefault="000629CF">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45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47</w:t>
            </w:r>
            <w:r>
              <w:rPr>
                <w:b/>
                <w:bCs/>
                <w:sz w:val="24"/>
              </w:rPr>
              <w:fldChar w:fldCharType="end"/>
            </w:r>
          </w:p>
        </w:sdtContent>
      </w:sdt>
    </w:sdtContent>
  </w:sdt>
  <w:p w14:paraId="0F2C0D5F" w14:textId="77777777" w:rsidR="000629CF" w:rsidRDefault="0006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B76FA" w14:textId="77777777" w:rsidR="000629CF" w:rsidRDefault="000629CF" w:rsidP="00AE2646">
      <w:pPr>
        <w:spacing w:after="0"/>
      </w:pPr>
      <w:r>
        <w:separator/>
      </w:r>
    </w:p>
  </w:footnote>
  <w:footnote w:type="continuationSeparator" w:id="0">
    <w:p w14:paraId="50689CEF" w14:textId="77777777" w:rsidR="000629CF" w:rsidRDefault="000629CF" w:rsidP="00AE26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E90D" w14:textId="77777777" w:rsidR="000629CF" w:rsidRDefault="000629CF">
    <w:pPr>
      <w:pStyle w:val="Header"/>
      <w:rPr>
        <w:rStyle w:val="Ref"/>
        <w:b/>
        <w:color w:val="000000"/>
        <w:sz w:val="28"/>
        <w:szCs w:val="20"/>
      </w:rPr>
    </w:pPr>
    <w:r w:rsidRPr="00003886">
      <w:rPr>
        <w:rStyle w:val="Ref"/>
        <w:b/>
        <w:color w:val="000000"/>
        <w:sz w:val="28"/>
        <w:szCs w:val="20"/>
      </w:rPr>
      <w:t>FHS Jurisprudence and Diploma in Legal Studies</w:t>
    </w:r>
    <w:r w:rsidRPr="00003886">
      <w:rPr>
        <w:rStyle w:val="Ref"/>
        <w:b/>
        <w:color w:val="000000"/>
        <w:sz w:val="28"/>
        <w:szCs w:val="20"/>
      </w:rPr>
      <w:br/>
      <w:t>Examiners’ Report 201</w:t>
    </w:r>
    <w:r>
      <w:rPr>
        <w:rStyle w:val="Ref"/>
        <w:b/>
        <w:color w:val="000000"/>
        <w:sz w:val="28"/>
        <w:szCs w:val="20"/>
      </w:rPr>
      <w:t>9</w:t>
    </w:r>
  </w:p>
  <w:p w14:paraId="667C7B27" w14:textId="77777777" w:rsidR="000629CF" w:rsidRPr="00003886" w:rsidRDefault="000629CF">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4B58" w14:textId="31ED8978" w:rsidR="000629CF" w:rsidRDefault="000629CF" w:rsidP="00FF7003">
    <w:pPr>
      <w:pStyle w:val="Header"/>
      <w:rPr>
        <w:rStyle w:val="Ref"/>
        <w:b/>
        <w:color w:val="000000"/>
        <w:sz w:val="28"/>
        <w:szCs w:val="20"/>
      </w:rPr>
    </w:pPr>
    <w:r w:rsidRPr="00003886">
      <w:rPr>
        <w:rStyle w:val="Ref"/>
        <w:b/>
        <w:color w:val="000000"/>
        <w:sz w:val="28"/>
        <w:szCs w:val="20"/>
      </w:rPr>
      <w:t>FHS Jurisprudence and Diploma in Lega</w:t>
    </w:r>
    <w:r>
      <w:rPr>
        <w:rStyle w:val="Ref"/>
        <w:b/>
        <w:color w:val="000000"/>
        <w:sz w:val="28"/>
        <w:szCs w:val="20"/>
      </w:rPr>
      <w:t>l Studies</w:t>
    </w:r>
    <w:r>
      <w:rPr>
        <w:rStyle w:val="Ref"/>
        <w:b/>
        <w:color w:val="000000"/>
        <w:sz w:val="28"/>
        <w:szCs w:val="20"/>
      </w:rPr>
      <w:br/>
      <w:t>Examiners’ Report 2020</w:t>
    </w:r>
  </w:p>
  <w:p w14:paraId="146F3315" w14:textId="77777777" w:rsidR="000629CF" w:rsidRDefault="00062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F58E" w14:textId="4411382F" w:rsidR="000629CF" w:rsidRPr="006D21CD" w:rsidRDefault="000629CF" w:rsidP="006D21CD">
    <w:pPr>
      <w:pStyle w:val="Header"/>
      <w:rPr>
        <w:rStyle w:val="Ref"/>
        <w:b/>
        <w:color w:val="3B3838" w:themeColor="background2" w:themeShade="40"/>
        <w:sz w:val="28"/>
        <w:szCs w:val="20"/>
      </w:rPr>
    </w:pPr>
    <w:r w:rsidRPr="006D21CD">
      <w:rPr>
        <w:rStyle w:val="Ref"/>
        <w:b/>
        <w:color w:val="3B3838" w:themeColor="background2" w:themeShade="40"/>
        <w:sz w:val="28"/>
        <w:szCs w:val="20"/>
      </w:rPr>
      <w:t>FHS Jurisprudence and Diploma in Legal Studies</w:t>
    </w:r>
    <w:r w:rsidRPr="006D21CD">
      <w:rPr>
        <w:rStyle w:val="Ref"/>
        <w:b/>
        <w:color w:val="3B3838" w:themeColor="background2" w:themeShade="40"/>
        <w:sz w:val="28"/>
        <w:szCs w:val="20"/>
      </w:rPr>
      <w:br/>
      <w:t>Examiners’ Report 2020</w:t>
    </w:r>
  </w:p>
  <w:p w14:paraId="70D7855E" w14:textId="38FD38C6" w:rsidR="000629CF" w:rsidRDefault="000629CF">
    <w:pPr>
      <w:pStyle w:val="Header"/>
    </w:pPr>
  </w:p>
  <w:p w14:paraId="03C89616" w14:textId="1CCC8F3D" w:rsidR="000629CF" w:rsidRDefault="000629CF" w:rsidP="00C53C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3317E"/>
    <w:multiLevelType w:val="multilevel"/>
    <w:tmpl w:val="B3BA7F4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C3876DF"/>
    <w:multiLevelType w:val="multilevel"/>
    <w:tmpl w:val="08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4075BC"/>
    <w:multiLevelType w:val="hybridMultilevel"/>
    <w:tmpl w:val="EEAA8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FA0664"/>
    <w:multiLevelType w:val="hybridMultilevel"/>
    <w:tmpl w:val="6E54E3E6"/>
    <w:lvl w:ilvl="0" w:tplc="42A2CD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51643C"/>
    <w:multiLevelType w:val="hybridMultilevel"/>
    <w:tmpl w:val="80CEDFB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FB3694"/>
    <w:multiLevelType w:val="hybridMultilevel"/>
    <w:tmpl w:val="9B2EA55E"/>
    <w:lvl w:ilvl="0" w:tplc="96164A4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E72F51"/>
    <w:multiLevelType w:val="hybridMultilevel"/>
    <w:tmpl w:val="29DAE73C"/>
    <w:lvl w:ilvl="0" w:tplc="397A51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DC"/>
    <w:rsid w:val="000214B5"/>
    <w:rsid w:val="00035E9D"/>
    <w:rsid w:val="00057DDB"/>
    <w:rsid w:val="000629CF"/>
    <w:rsid w:val="00064EBE"/>
    <w:rsid w:val="00074636"/>
    <w:rsid w:val="000914D7"/>
    <w:rsid w:val="000D0782"/>
    <w:rsid w:val="00112E3E"/>
    <w:rsid w:val="00113B33"/>
    <w:rsid w:val="00120FD0"/>
    <w:rsid w:val="00130493"/>
    <w:rsid w:val="00131FDC"/>
    <w:rsid w:val="00161776"/>
    <w:rsid w:val="00185FAD"/>
    <w:rsid w:val="001D3593"/>
    <w:rsid w:val="001E2EB5"/>
    <w:rsid w:val="00213CA5"/>
    <w:rsid w:val="00230F6F"/>
    <w:rsid w:val="002407D1"/>
    <w:rsid w:val="002610D3"/>
    <w:rsid w:val="00283512"/>
    <w:rsid w:val="002955B6"/>
    <w:rsid w:val="002C08FC"/>
    <w:rsid w:val="002C2D03"/>
    <w:rsid w:val="003169A9"/>
    <w:rsid w:val="00322417"/>
    <w:rsid w:val="00347B5C"/>
    <w:rsid w:val="00364804"/>
    <w:rsid w:val="00373251"/>
    <w:rsid w:val="00385FD5"/>
    <w:rsid w:val="00386969"/>
    <w:rsid w:val="003C68DF"/>
    <w:rsid w:val="003D3B85"/>
    <w:rsid w:val="004256D6"/>
    <w:rsid w:val="004757C4"/>
    <w:rsid w:val="0048350E"/>
    <w:rsid w:val="004902FD"/>
    <w:rsid w:val="004B2AB4"/>
    <w:rsid w:val="004D7B9B"/>
    <w:rsid w:val="0050201C"/>
    <w:rsid w:val="00511E38"/>
    <w:rsid w:val="005243CD"/>
    <w:rsid w:val="0053139B"/>
    <w:rsid w:val="00540749"/>
    <w:rsid w:val="005664CA"/>
    <w:rsid w:val="00572342"/>
    <w:rsid w:val="005A5285"/>
    <w:rsid w:val="006174EF"/>
    <w:rsid w:val="006779B8"/>
    <w:rsid w:val="006840A3"/>
    <w:rsid w:val="006A28AB"/>
    <w:rsid w:val="006A4379"/>
    <w:rsid w:val="006A5F18"/>
    <w:rsid w:val="006C29FD"/>
    <w:rsid w:val="006D21CD"/>
    <w:rsid w:val="006D5A32"/>
    <w:rsid w:val="006D6E08"/>
    <w:rsid w:val="007162DB"/>
    <w:rsid w:val="00736311"/>
    <w:rsid w:val="00771973"/>
    <w:rsid w:val="007B6461"/>
    <w:rsid w:val="007E105D"/>
    <w:rsid w:val="007E11D6"/>
    <w:rsid w:val="00800942"/>
    <w:rsid w:val="0081429D"/>
    <w:rsid w:val="008539A4"/>
    <w:rsid w:val="00857A1D"/>
    <w:rsid w:val="0087400E"/>
    <w:rsid w:val="008A4FB1"/>
    <w:rsid w:val="008E4302"/>
    <w:rsid w:val="008F012E"/>
    <w:rsid w:val="009067F4"/>
    <w:rsid w:val="00913AC2"/>
    <w:rsid w:val="00930D83"/>
    <w:rsid w:val="009A235C"/>
    <w:rsid w:val="009A771B"/>
    <w:rsid w:val="009D4B8A"/>
    <w:rsid w:val="009F476E"/>
    <w:rsid w:val="00A33BCF"/>
    <w:rsid w:val="00A9057F"/>
    <w:rsid w:val="00AA40FD"/>
    <w:rsid w:val="00AA58A6"/>
    <w:rsid w:val="00AB518D"/>
    <w:rsid w:val="00AC1DFA"/>
    <w:rsid w:val="00AC6D14"/>
    <w:rsid w:val="00AC7774"/>
    <w:rsid w:val="00AE11DE"/>
    <w:rsid w:val="00AE2646"/>
    <w:rsid w:val="00AE323D"/>
    <w:rsid w:val="00B1168C"/>
    <w:rsid w:val="00B202B4"/>
    <w:rsid w:val="00B34129"/>
    <w:rsid w:val="00B42251"/>
    <w:rsid w:val="00B43260"/>
    <w:rsid w:val="00BA6675"/>
    <w:rsid w:val="00BB24ED"/>
    <w:rsid w:val="00BE0F3D"/>
    <w:rsid w:val="00BE2ECC"/>
    <w:rsid w:val="00C11C8B"/>
    <w:rsid w:val="00C35A93"/>
    <w:rsid w:val="00C53CD8"/>
    <w:rsid w:val="00C8084C"/>
    <w:rsid w:val="00C83091"/>
    <w:rsid w:val="00CD3756"/>
    <w:rsid w:val="00CF3D56"/>
    <w:rsid w:val="00CF46C9"/>
    <w:rsid w:val="00D50888"/>
    <w:rsid w:val="00D81964"/>
    <w:rsid w:val="00D84D4A"/>
    <w:rsid w:val="00DC2D68"/>
    <w:rsid w:val="00DD0ED1"/>
    <w:rsid w:val="00DE041E"/>
    <w:rsid w:val="00E00EE8"/>
    <w:rsid w:val="00E03851"/>
    <w:rsid w:val="00E1593F"/>
    <w:rsid w:val="00E41E60"/>
    <w:rsid w:val="00EB5B9C"/>
    <w:rsid w:val="00ED3C79"/>
    <w:rsid w:val="00F324ED"/>
    <w:rsid w:val="00F54CDA"/>
    <w:rsid w:val="00FE130B"/>
    <w:rsid w:val="00FF42F3"/>
    <w:rsid w:val="00FF7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14F0"/>
  <w15:chartTrackingRefBased/>
  <w15:docId w15:val="{B4E315C2-B508-4B32-8507-868CD824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DC"/>
    <w:pPr>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131FDC"/>
    <w:pPr>
      <w:keepNext/>
      <w:numPr>
        <w:numId w:val="1"/>
      </w:numPr>
      <w:spacing w:before="360" w:after="120"/>
      <w:outlineLvl w:val="0"/>
    </w:pPr>
    <w:rPr>
      <w:rFonts w:eastAsiaTheme="majorEastAsia" w:cs="Arial"/>
      <w:b/>
      <w:bCs/>
      <w:caps/>
      <w:kern w:val="32"/>
      <w:szCs w:val="32"/>
    </w:rPr>
  </w:style>
  <w:style w:type="paragraph" w:styleId="Heading2">
    <w:name w:val="heading 2"/>
    <w:basedOn w:val="Normal"/>
    <w:next w:val="Normal"/>
    <w:link w:val="Heading2Char"/>
    <w:qFormat/>
    <w:rsid w:val="00131FDC"/>
    <w:pPr>
      <w:keepNext/>
      <w:numPr>
        <w:ilvl w:val="1"/>
        <w:numId w:val="1"/>
      </w:numPr>
      <w:spacing w:before="240" w:after="120"/>
      <w:outlineLvl w:val="1"/>
    </w:pPr>
    <w:rPr>
      <w:rFonts w:eastAsiaTheme="majorEastAsia" w:cs="Arial"/>
      <w:b/>
      <w:bCs/>
      <w:iCs/>
      <w:szCs w:val="28"/>
    </w:rPr>
  </w:style>
  <w:style w:type="paragraph" w:styleId="Heading3">
    <w:name w:val="heading 3"/>
    <w:basedOn w:val="Normal"/>
    <w:next w:val="Normal"/>
    <w:link w:val="Heading3Char"/>
    <w:qFormat/>
    <w:rsid w:val="00131FDC"/>
    <w:pPr>
      <w:keepNext/>
      <w:numPr>
        <w:ilvl w:val="2"/>
        <w:numId w:val="1"/>
      </w:numPr>
      <w:spacing w:before="240" w:after="120"/>
      <w:outlineLvl w:val="2"/>
    </w:pPr>
    <w:rPr>
      <w:rFonts w:eastAsiaTheme="majorEastAsia" w:cs="Arial"/>
      <w:bCs/>
      <w:i/>
      <w:szCs w:val="26"/>
    </w:rPr>
  </w:style>
  <w:style w:type="paragraph" w:styleId="Heading4">
    <w:name w:val="heading 4"/>
    <w:basedOn w:val="Normal"/>
    <w:next w:val="Normal"/>
    <w:link w:val="Heading4Char"/>
    <w:qFormat/>
    <w:rsid w:val="00131FDC"/>
    <w:pPr>
      <w:keepNext/>
      <w:numPr>
        <w:ilvl w:val="3"/>
        <w:numId w:val="1"/>
      </w:numPr>
      <w:spacing w:before="240" w:after="60"/>
      <w:outlineLvl w:val="3"/>
    </w:pPr>
    <w:rPr>
      <w:b/>
      <w:bCs/>
      <w:sz w:val="26"/>
      <w:szCs w:val="28"/>
    </w:rPr>
  </w:style>
  <w:style w:type="paragraph" w:styleId="Heading5">
    <w:name w:val="heading 5"/>
    <w:basedOn w:val="Normal"/>
    <w:next w:val="Normal"/>
    <w:link w:val="Heading5Char"/>
    <w:qFormat/>
    <w:rsid w:val="00131FDC"/>
    <w:pPr>
      <w:numPr>
        <w:ilvl w:val="4"/>
        <w:numId w:val="1"/>
      </w:numPr>
      <w:spacing w:before="240" w:after="60"/>
      <w:outlineLvl w:val="4"/>
    </w:pPr>
    <w:rPr>
      <w:b/>
      <w:bCs/>
      <w:i/>
      <w:iCs/>
      <w:sz w:val="24"/>
      <w:szCs w:val="26"/>
    </w:rPr>
  </w:style>
  <w:style w:type="paragraph" w:styleId="Heading6">
    <w:name w:val="heading 6"/>
    <w:basedOn w:val="Normal"/>
    <w:next w:val="Normal"/>
    <w:link w:val="Heading6Char"/>
    <w:qFormat/>
    <w:rsid w:val="00131FDC"/>
    <w:pPr>
      <w:numPr>
        <w:ilvl w:val="5"/>
        <w:numId w:val="1"/>
      </w:numPr>
      <w:spacing w:before="240" w:after="60"/>
      <w:outlineLvl w:val="5"/>
    </w:pPr>
    <w:rPr>
      <w:b/>
      <w:bCs/>
      <w:sz w:val="20"/>
      <w:szCs w:val="22"/>
    </w:rPr>
  </w:style>
  <w:style w:type="paragraph" w:styleId="Heading7">
    <w:name w:val="heading 7"/>
    <w:basedOn w:val="Normal"/>
    <w:next w:val="Normal"/>
    <w:link w:val="Heading7Char"/>
    <w:qFormat/>
    <w:rsid w:val="00131FDC"/>
    <w:pPr>
      <w:numPr>
        <w:ilvl w:val="6"/>
        <w:numId w:val="1"/>
      </w:numPr>
      <w:spacing w:before="240" w:after="60"/>
      <w:outlineLvl w:val="6"/>
    </w:pPr>
  </w:style>
  <w:style w:type="paragraph" w:styleId="Heading8">
    <w:name w:val="heading 8"/>
    <w:basedOn w:val="Normal"/>
    <w:next w:val="Normal"/>
    <w:link w:val="Heading8Char"/>
    <w:qFormat/>
    <w:rsid w:val="00131FDC"/>
    <w:pPr>
      <w:numPr>
        <w:ilvl w:val="7"/>
        <w:numId w:val="1"/>
      </w:numPr>
      <w:spacing w:before="240" w:after="60"/>
      <w:outlineLvl w:val="7"/>
    </w:pPr>
    <w:rPr>
      <w:i/>
      <w:iCs/>
    </w:rPr>
  </w:style>
  <w:style w:type="paragraph" w:styleId="Heading9">
    <w:name w:val="heading 9"/>
    <w:basedOn w:val="Normal"/>
    <w:next w:val="Normal"/>
    <w:link w:val="Heading9Char"/>
    <w:qFormat/>
    <w:rsid w:val="00131FDC"/>
    <w:pPr>
      <w:numPr>
        <w:ilvl w:val="8"/>
        <w:numId w:val="1"/>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FDC"/>
    <w:rPr>
      <w:rFonts w:ascii="Arial" w:eastAsiaTheme="majorEastAsia" w:hAnsi="Arial" w:cs="Arial"/>
      <w:b/>
      <w:bCs/>
      <w:caps/>
      <w:kern w:val="32"/>
      <w:szCs w:val="32"/>
    </w:rPr>
  </w:style>
  <w:style w:type="character" w:customStyle="1" w:styleId="Heading2Char">
    <w:name w:val="Heading 2 Char"/>
    <w:basedOn w:val="DefaultParagraphFont"/>
    <w:link w:val="Heading2"/>
    <w:rsid w:val="00131FDC"/>
    <w:rPr>
      <w:rFonts w:ascii="Arial" w:eastAsiaTheme="majorEastAsia" w:hAnsi="Arial" w:cs="Arial"/>
      <w:b/>
      <w:bCs/>
      <w:iCs/>
      <w:szCs w:val="28"/>
    </w:rPr>
  </w:style>
  <w:style w:type="character" w:customStyle="1" w:styleId="Heading3Char">
    <w:name w:val="Heading 3 Char"/>
    <w:basedOn w:val="DefaultParagraphFont"/>
    <w:link w:val="Heading3"/>
    <w:rsid w:val="00131FDC"/>
    <w:rPr>
      <w:rFonts w:ascii="Arial" w:eastAsiaTheme="majorEastAsia" w:hAnsi="Arial" w:cs="Arial"/>
      <w:bCs/>
      <w:i/>
      <w:szCs w:val="26"/>
    </w:rPr>
  </w:style>
  <w:style w:type="character" w:customStyle="1" w:styleId="Heading4Char">
    <w:name w:val="Heading 4 Char"/>
    <w:basedOn w:val="DefaultParagraphFont"/>
    <w:link w:val="Heading4"/>
    <w:rsid w:val="00131FDC"/>
    <w:rPr>
      <w:rFonts w:ascii="Arial" w:eastAsia="Times New Roman" w:hAnsi="Arial" w:cs="Times New Roman"/>
      <w:b/>
      <w:bCs/>
      <w:sz w:val="26"/>
      <w:szCs w:val="28"/>
    </w:rPr>
  </w:style>
  <w:style w:type="character" w:customStyle="1" w:styleId="Heading5Char">
    <w:name w:val="Heading 5 Char"/>
    <w:basedOn w:val="DefaultParagraphFont"/>
    <w:link w:val="Heading5"/>
    <w:rsid w:val="00131FDC"/>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131FDC"/>
    <w:rPr>
      <w:rFonts w:ascii="Arial" w:eastAsia="Times New Roman" w:hAnsi="Arial" w:cs="Times New Roman"/>
      <w:b/>
      <w:bCs/>
      <w:sz w:val="20"/>
    </w:rPr>
  </w:style>
  <w:style w:type="character" w:customStyle="1" w:styleId="Heading7Char">
    <w:name w:val="Heading 7 Char"/>
    <w:basedOn w:val="DefaultParagraphFont"/>
    <w:link w:val="Heading7"/>
    <w:rsid w:val="00131FDC"/>
    <w:rPr>
      <w:rFonts w:ascii="Arial" w:eastAsia="Times New Roman" w:hAnsi="Arial" w:cs="Times New Roman"/>
      <w:szCs w:val="24"/>
    </w:rPr>
  </w:style>
  <w:style w:type="character" w:customStyle="1" w:styleId="Heading8Char">
    <w:name w:val="Heading 8 Char"/>
    <w:basedOn w:val="DefaultParagraphFont"/>
    <w:link w:val="Heading8"/>
    <w:rsid w:val="00131FDC"/>
    <w:rPr>
      <w:rFonts w:ascii="Arial" w:eastAsia="Times New Roman" w:hAnsi="Arial" w:cs="Times New Roman"/>
      <w:i/>
      <w:iCs/>
      <w:szCs w:val="24"/>
    </w:rPr>
  </w:style>
  <w:style w:type="character" w:customStyle="1" w:styleId="Heading9Char">
    <w:name w:val="Heading 9 Char"/>
    <w:basedOn w:val="DefaultParagraphFont"/>
    <w:link w:val="Heading9"/>
    <w:rsid w:val="00131FDC"/>
    <w:rPr>
      <w:rFonts w:ascii="Arial" w:eastAsia="Times New Roman" w:hAnsi="Arial" w:cs="Arial"/>
      <w:sz w:val="20"/>
    </w:rPr>
  </w:style>
  <w:style w:type="character" w:styleId="Hyperlink">
    <w:name w:val="Hyperlink"/>
    <w:basedOn w:val="DefaultParagraphFont"/>
    <w:uiPriority w:val="99"/>
    <w:rsid w:val="00131FDC"/>
    <w:rPr>
      <w:color w:val="0000FF"/>
      <w:u w:val="single"/>
    </w:rPr>
  </w:style>
  <w:style w:type="character" w:customStyle="1" w:styleId="Ref">
    <w:name w:val="Ref"/>
    <w:basedOn w:val="DefaultParagraphFont"/>
    <w:rsid w:val="00131FDC"/>
  </w:style>
  <w:style w:type="character" w:styleId="CommentReference">
    <w:name w:val="annotation reference"/>
    <w:basedOn w:val="DefaultParagraphFont"/>
    <w:uiPriority w:val="99"/>
    <w:semiHidden/>
    <w:unhideWhenUsed/>
    <w:rsid w:val="00AE2646"/>
    <w:rPr>
      <w:sz w:val="16"/>
      <w:szCs w:val="16"/>
    </w:rPr>
  </w:style>
  <w:style w:type="paragraph" w:styleId="CommentText">
    <w:name w:val="annotation text"/>
    <w:basedOn w:val="Normal"/>
    <w:link w:val="CommentTextChar"/>
    <w:uiPriority w:val="99"/>
    <w:semiHidden/>
    <w:unhideWhenUsed/>
    <w:rsid w:val="00AE2646"/>
    <w:rPr>
      <w:sz w:val="20"/>
      <w:szCs w:val="20"/>
    </w:rPr>
  </w:style>
  <w:style w:type="character" w:customStyle="1" w:styleId="CommentTextChar">
    <w:name w:val="Comment Text Char"/>
    <w:basedOn w:val="DefaultParagraphFont"/>
    <w:link w:val="CommentText"/>
    <w:uiPriority w:val="99"/>
    <w:semiHidden/>
    <w:rsid w:val="00AE264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2646"/>
    <w:rPr>
      <w:b/>
      <w:bCs/>
    </w:rPr>
  </w:style>
  <w:style w:type="character" w:customStyle="1" w:styleId="CommentSubjectChar">
    <w:name w:val="Comment Subject Char"/>
    <w:basedOn w:val="CommentTextChar"/>
    <w:link w:val="CommentSubject"/>
    <w:uiPriority w:val="99"/>
    <w:semiHidden/>
    <w:rsid w:val="00AE264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26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646"/>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E2646"/>
    <w:pPr>
      <w:spacing w:after="0"/>
    </w:pPr>
    <w:rPr>
      <w:sz w:val="20"/>
      <w:szCs w:val="20"/>
    </w:rPr>
  </w:style>
  <w:style w:type="character" w:customStyle="1" w:styleId="FootnoteTextChar">
    <w:name w:val="Footnote Text Char"/>
    <w:basedOn w:val="DefaultParagraphFont"/>
    <w:link w:val="FootnoteText"/>
    <w:uiPriority w:val="99"/>
    <w:semiHidden/>
    <w:rsid w:val="00AE264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E2646"/>
    <w:rPr>
      <w:vertAlign w:val="superscript"/>
    </w:rPr>
  </w:style>
  <w:style w:type="table" w:styleId="TableGrid">
    <w:name w:val="Table Grid"/>
    <w:basedOn w:val="TableNormal"/>
    <w:uiPriority w:val="59"/>
    <w:rsid w:val="00BB24E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ED"/>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C53CD8"/>
    <w:pPr>
      <w:tabs>
        <w:tab w:val="center" w:pos="4513"/>
        <w:tab w:val="right" w:pos="9026"/>
      </w:tabs>
      <w:spacing w:after="0"/>
    </w:pPr>
  </w:style>
  <w:style w:type="character" w:customStyle="1" w:styleId="HeaderChar">
    <w:name w:val="Header Char"/>
    <w:basedOn w:val="DefaultParagraphFont"/>
    <w:link w:val="Header"/>
    <w:uiPriority w:val="99"/>
    <w:rsid w:val="00C53CD8"/>
    <w:rPr>
      <w:rFonts w:ascii="Arial" w:eastAsia="Times New Roman" w:hAnsi="Arial" w:cs="Times New Roman"/>
      <w:szCs w:val="24"/>
    </w:rPr>
  </w:style>
  <w:style w:type="paragraph" w:styleId="Footer">
    <w:name w:val="footer"/>
    <w:basedOn w:val="Normal"/>
    <w:link w:val="FooterChar"/>
    <w:uiPriority w:val="99"/>
    <w:unhideWhenUsed/>
    <w:rsid w:val="00C53CD8"/>
    <w:pPr>
      <w:tabs>
        <w:tab w:val="center" w:pos="4513"/>
        <w:tab w:val="right" w:pos="9026"/>
      </w:tabs>
      <w:spacing w:after="0"/>
    </w:pPr>
  </w:style>
  <w:style w:type="character" w:customStyle="1" w:styleId="FooterChar">
    <w:name w:val="Footer Char"/>
    <w:basedOn w:val="DefaultParagraphFont"/>
    <w:link w:val="Footer"/>
    <w:uiPriority w:val="99"/>
    <w:rsid w:val="00C53CD8"/>
    <w:rPr>
      <w:rFonts w:ascii="Arial" w:eastAsia="Times New Roman" w:hAnsi="Arial" w:cs="Times New Roman"/>
      <w:szCs w:val="24"/>
    </w:rPr>
  </w:style>
  <w:style w:type="character" w:styleId="FollowedHyperlink">
    <w:name w:val="FollowedHyperlink"/>
    <w:basedOn w:val="DefaultParagraphFont"/>
    <w:uiPriority w:val="99"/>
    <w:semiHidden/>
    <w:unhideWhenUsed/>
    <w:rsid w:val="004256D6"/>
    <w:rPr>
      <w:color w:val="954F72" w:themeColor="followedHyperlink"/>
      <w:u w:val="single"/>
    </w:rPr>
  </w:style>
  <w:style w:type="numbering" w:customStyle="1" w:styleId="Style1">
    <w:name w:val="Style1"/>
    <w:basedOn w:val="NoList"/>
    <w:uiPriority w:val="99"/>
    <w:rsid w:val="00B34129"/>
    <w:pPr>
      <w:numPr>
        <w:numId w:val="2"/>
      </w:numPr>
    </w:pPr>
  </w:style>
  <w:style w:type="paragraph" w:styleId="ListParagraph">
    <w:name w:val="List Paragraph"/>
    <w:basedOn w:val="Normal"/>
    <w:uiPriority w:val="34"/>
    <w:qFormat/>
    <w:rsid w:val="002955B6"/>
    <w:pPr>
      <w:spacing w:after="160" w:line="25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semiHidden/>
    <w:unhideWhenUsed/>
    <w:rsid w:val="00E41E60"/>
    <w:pPr>
      <w:spacing w:after="0"/>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98125">
      <w:bodyDiv w:val="1"/>
      <w:marLeft w:val="0"/>
      <w:marRight w:val="0"/>
      <w:marTop w:val="0"/>
      <w:marBottom w:val="0"/>
      <w:divBdr>
        <w:top w:val="none" w:sz="0" w:space="0" w:color="auto"/>
        <w:left w:val="none" w:sz="0" w:space="0" w:color="auto"/>
        <w:bottom w:val="none" w:sz="0" w:space="0" w:color="auto"/>
        <w:right w:val="none" w:sz="0" w:space="0" w:color="auto"/>
      </w:divBdr>
    </w:div>
    <w:div w:id="285283065">
      <w:bodyDiv w:val="1"/>
      <w:marLeft w:val="0"/>
      <w:marRight w:val="0"/>
      <w:marTop w:val="0"/>
      <w:marBottom w:val="0"/>
      <w:divBdr>
        <w:top w:val="none" w:sz="0" w:space="0" w:color="auto"/>
        <w:left w:val="none" w:sz="0" w:space="0" w:color="auto"/>
        <w:bottom w:val="none" w:sz="0" w:space="0" w:color="auto"/>
        <w:right w:val="none" w:sz="0" w:space="0" w:color="auto"/>
      </w:divBdr>
    </w:div>
    <w:div w:id="320041239">
      <w:bodyDiv w:val="1"/>
      <w:marLeft w:val="0"/>
      <w:marRight w:val="0"/>
      <w:marTop w:val="0"/>
      <w:marBottom w:val="0"/>
      <w:divBdr>
        <w:top w:val="none" w:sz="0" w:space="0" w:color="auto"/>
        <w:left w:val="none" w:sz="0" w:space="0" w:color="auto"/>
        <w:bottom w:val="none" w:sz="0" w:space="0" w:color="auto"/>
        <w:right w:val="none" w:sz="0" w:space="0" w:color="auto"/>
      </w:divBdr>
    </w:div>
    <w:div w:id="665328549">
      <w:bodyDiv w:val="1"/>
      <w:marLeft w:val="0"/>
      <w:marRight w:val="0"/>
      <w:marTop w:val="0"/>
      <w:marBottom w:val="0"/>
      <w:divBdr>
        <w:top w:val="none" w:sz="0" w:space="0" w:color="auto"/>
        <w:left w:val="none" w:sz="0" w:space="0" w:color="auto"/>
        <w:bottom w:val="none" w:sz="0" w:space="0" w:color="auto"/>
        <w:right w:val="none" w:sz="0" w:space="0" w:color="auto"/>
      </w:divBdr>
    </w:div>
    <w:div w:id="894850761">
      <w:bodyDiv w:val="1"/>
      <w:marLeft w:val="0"/>
      <w:marRight w:val="0"/>
      <w:marTop w:val="0"/>
      <w:marBottom w:val="0"/>
      <w:divBdr>
        <w:top w:val="none" w:sz="0" w:space="0" w:color="auto"/>
        <w:left w:val="none" w:sz="0" w:space="0" w:color="auto"/>
        <w:bottom w:val="none" w:sz="0" w:space="0" w:color="auto"/>
        <w:right w:val="none" w:sz="0" w:space="0" w:color="auto"/>
      </w:divBdr>
    </w:div>
    <w:div w:id="1357731795">
      <w:bodyDiv w:val="1"/>
      <w:marLeft w:val="0"/>
      <w:marRight w:val="0"/>
      <w:marTop w:val="0"/>
      <w:marBottom w:val="0"/>
      <w:divBdr>
        <w:top w:val="none" w:sz="0" w:space="0" w:color="auto"/>
        <w:left w:val="none" w:sz="0" w:space="0" w:color="auto"/>
        <w:bottom w:val="none" w:sz="0" w:space="0" w:color="auto"/>
        <w:right w:val="none" w:sz="0" w:space="0" w:color="auto"/>
      </w:divBdr>
    </w:div>
    <w:div w:id="1512717613">
      <w:bodyDiv w:val="1"/>
      <w:marLeft w:val="0"/>
      <w:marRight w:val="0"/>
      <w:marTop w:val="0"/>
      <w:marBottom w:val="0"/>
      <w:divBdr>
        <w:top w:val="none" w:sz="0" w:space="0" w:color="auto"/>
        <w:left w:val="none" w:sz="0" w:space="0" w:color="auto"/>
        <w:bottom w:val="none" w:sz="0" w:space="0" w:color="auto"/>
        <w:right w:val="none" w:sz="0" w:space="0" w:color="auto"/>
      </w:divBdr>
    </w:div>
    <w:div w:id="1571965941">
      <w:bodyDiv w:val="1"/>
      <w:marLeft w:val="0"/>
      <w:marRight w:val="0"/>
      <w:marTop w:val="0"/>
      <w:marBottom w:val="0"/>
      <w:divBdr>
        <w:top w:val="none" w:sz="0" w:space="0" w:color="auto"/>
        <w:left w:val="none" w:sz="0" w:space="0" w:color="auto"/>
        <w:bottom w:val="none" w:sz="0" w:space="0" w:color="auto"/>
        <w:right w:val="none" w:sz="0" w:space="0" w:color="auto"/>
      </w:divBdr>
    </w:div>
    <w:div w:id="1733039450">
      <w:bodyDiv w:val="1"/>
      <w:marLeft w:val="0"/>
      <w:marRight w:val="0"/>
      <w:marTop w:val="0"/>
      <w:marBottom w:val="0"/>
      <w:divBdr>
        <w:top w:val="none" w:sz="0" w:space="0" w:color="auto"/>
        <w:left w:val="none" w:sz="0" w:space="0" w:color="auto"/>
        <w:bottom w:val="none" w:sz="0" w:space="0" w:color="auto"/>
        <w:right w:val="none" w:sz="0" w:space="0" w:color="auto"/>
      </w:divBdr>
    </w:div>
    <w:div w:id="19786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B5ED-8348-4EE4-A944-17CAE0D6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58</Pages>
  <Words>19842</Words>
  <Characters>113106</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Griffiths</dc:creator>
  <cp:keywords/>
  <dc:description/>
  <cp:lastModifiedBy>Paul Burns</cp:lastModifiedBy>
  <cp:revision>9</cp:revision>
  <cp:lastPrinted>2021-04-06T08:29:00Z</cp:lastPrinted>
  <dcterms:created xsi:type="dcterms:W3CDTF">2021-02-20T14:05:00Z</dcterms:created>
  <dcterms:modified xsi:type="dcterms:W3CDTF">2021-04-06T08:33:00Z</dcterms:modified>
</cp:coreProperties>
</file>